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9B40D" w14:textId="77777777" w:rsidR="00B87E37" w:rsidRDefault="00000000">
      <w:pPr>
        <w:ind w:left="720"/>
        <w:jc w:val="right"/>
      </w:pPr>
      <w:r>
        <w:t>Subject Information List</w:t>
      </w:r>
    </w:p>
    <w:p w14:paraId="194D0D93" w14:textId="77777777" w:rsidR="00B87E37" w:rsidRDefault="00B87E37">
      <w:pPr>
        <w:ind w:left="720"/>
        <w:jc w:val="both"/>
      </w:pPr>
    </w:p>
    <w:tbl>
      <w:tblPr>
        <w:tblStyle w:val="a"/>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0"/>
        <w:gridCol w:w="5212"/>
      </w:tblGrid>
      <w:tr w:rsidR="00B87E37" w14:paraId="1146D300" w14:textId="77777777">
        <w:tc>
          <w:tcPr>
            <w:tcW w:w="9322" w:type="dxa"/>
            <w:gridSpan w:val="2"/>
          </w:tcPr>
          <w:p w14:paraId="3C0E7261" w14:textId="77777777" w:rsidR="00B87E37" w:rsidRDefault="00000000">
            <w:pPr>
              <w:ind w:left="0" w:hanging="2"/>
              <w:jc w:val="both"/>
            </w:pPr>
            <w:r>
              <w:rPr>
                <w:b/>
                <w:bCs/>
              </w:rPr>
              <w:t>University:</w:t>
            </w:r>
            <w:r>
              <w:t xml:space="preserve"> Bratislava International School of Liberal Arts (BISLA)</w:t>
            </w:r>
          </w:p>
        </w:tc>
      </w:tr>
      <w:tr w:rsidR="00B87E37" w14:paraId="197A02F1" w14:textId="77777777">
        <w:tc>
          <w:tcPr>
            <w:tcW w:w="9322" w:type="dxa"/>
            <w:gridSpan w:val="2"/>
          </w:tcPr>
          <w:p w14:paraId="65195FB8" w14:textId="77777777" w:rsidR="00B87E37" w:rsidRDefault="00000000">
            <w:pPr>
              <w:ind w:left="0" w:hanging="2"/>
              <w:jc w:val="both"/>
            </w:pPr>
            <w:r>
              <w:rPr>
                <w:b/>
                <w:bCs/>
              </w:rPr>
              <w:t>Faculty:</w:t>
            </w:r>
            <w:r>
              <w:t xml:space="preserve"> Bratislava International School of Liberal Arts (BISLA)</w:t>
            </w:r>
          </w:p>
        </w:tc>
      </w:tr>
      <w:tr w:rsidR="00B87E37" w14:paraId="29A92648" w14:textId="77777777">
        <w:tc>
          <w:tcPr>
            <w:tcW w:w="4110" w:type="dxa"/>
          </w:tcPr>
          <w:p w14:paraId="78CF9D02" w14:textId="5FCE797B" w:rsidR="00B87E37" w:rsidRDefault="00000000">
            <w:pPr>
              <w:ind w:left="0" w:hanging="2"/>
              <w:jc w:val="both"/>
              <w:rPr>
                <w:color w:val="000000"/>
              </w:rPr>
            </w:pPr>
            <w:r>
              <w:rPr>
                <w:b/>
                <w:bCs/>
              </w:rPr>
              <w:t>Subject code</w:t>
            </w:r>
            <w:r w:rsidR="00694DD0">
              <w:rPr>
                <w:b/>
                <w:bCs/>
              </w:rPr>
              <w:t>: F-540</w:t>
            </w:r>
          </w:p>
        </w:tc>
        <w:tc>
          <w:tcPr>
            <w:tcW w:w="5212" w:type="dxa"/>
          </w:tcPr>
          <w:p w14:paraId="4FC73E2D" w14:textId="77777777" w:rsidR="00B87E37" w:rsidRDefault="00000000">
            <w:pPr>
              <w:tabs>
                <w:tab w:val="center" w:pos="2498"/>
              </w:tabs>
              <w:ind w:left="0" w:hanging="2"/>
              <w:jc w:val="both"/>
            </w:pPr>
            <w:r>
              <w:rPr>
                <w:b/>
                <w:bCs/>
              </w:rPr>
              <w:t>Subject name: Eros Today in Plato’s Symposium</w:t>
            </w:r>
          </w:p>
        </w:tc>
      </w:tr>
      <w:tr w:rsidR="00B87E37" w14:paraId="626B5CC0" w14:textId="77777777">
        <w:trPr>
          <w:trHeight w:val="714"/>
        </w:trPr>
        <w:tc>
          <w:tcPr>
            <w:tcW w:w="9322" w:type="dxa"/>
            <w:gridSpan w:val="2"/>
          </w:tcPr>
          <w:p w14:paraId="592E5B24" w14:textId="77777777" w:rsidR="00B87E37" w:rsidRDefault="00000000">
            <w:pPr>
              <w:ind w:left="0" w:hanging="2"/>
              <w:jc w:val="both"/>
            </w:pPr>
            <w:r>
              <w:rPr>
                <w:b/>
                <w:bCs/>
              </w:rPr>
              <w:t>Type, scope, and method of educational activities:</w:t>
            </w:r>
            <w:r>
              <w:t xml:space="preserve"> Two weekly </w:t>
            </w:r>
            <w:proofErr w:type="gramStart"/>
            <w:r>
              <w:t>90 minute</w:t>
            </w:r>
            <w:proofErr w:type="gramEnd"/>
            <w:r>
              <w:t xml:space="preserve"> meetings, in person, including seminar and lecture. </w:t>
            </w:r>
          </w:p>
        </w:tc>
      </w:tr>
      <w:tr w:rsidR="00B87E37" w14:paraId="58661FBC" w14:textId="77777777">
        <w:trPr>
          <w:trHeight w:val="286"/>
        </w:trPr>
        <w:tc>
          <w:tcPr>
            <w:tcW w:w="9322" w:type="dxa"/>
            <w:gridSpan w:val="2"/>
          </w:tcPr>
          <w:p w14:paraId="4BD22870" w14:textId="15553670" w:rsidR="00B87E37" w:rsidRDefault="00000000">
            <w:pPr>
              <w:ind w:left="0" w:hanging="2"/>
              <w:jc w:val="both"/>
            </w:pPr>
            <w:r>
              <w:rPr>
                <w:b/>
                <w:bCs/>
              </w:rPr>
              <w:t>Number of credits:</w:t>
            </w:r>
            <w:r>
              <w:t xml:space="preserve">  </w:t>
            </w:r>
            <w:r w:rsidR="00694DD0">
              <w:t>5</w:t>
            </w:r>
            <w:r>
              <w:t xml:space="preserve"> ECT</w:t>
            </w:r>
            <w:r w:rsidR="00694DD0">
              <w:t>S</w:t>
            </w:r>
          </w:p>
        </w:tc>
      </w:tr>
      <w:tr w:rsidR="00B87E37" w14:paraId="018F0B9E" w14:textId="77777777">
        <w:tc>
          <w:tcPr>
            <w:tcW w:w="9322" w:type="dxa"/>
            <w:gridSpan w:val="2"/>
          </w:tcPr>
          <w:p w14:paraId="60DC6156" w14:textId="77777777" w:rsidR="00B87E37" w:rsidRDefault="00000000">
            <w:pPr>
              <w:ind w:left="0" w:hanging="2"/>
              <w:jc w:val="both"/>
              <w:rPr>
                <w:color w:val="000000"/>
              </w:rPr>
            </w:pPr>
            <w:r>
              <w:rPr>
                <w:b/>
                <w:bCs/>
              </w:rPr>
              <w:t>Suggested semester:</w:t>
            </w:r>
            <w:r>
              <w:t xml:space="preserve"> Spring Semester</w:t>
            </w:r>
          </w:p>
        </w:tc>
      </w:tr>
      <w:tr w:rsidR="00B87E37" w14:paraId="68C032C7" w14:textId="77777777">
        <w:tc>
          <w:tcPr>
            <w:tcW w:w="9322" w:type="dxa"/>
            <w:gridSpan w:val="2"/>
          </w:tcPr>
          <w:p w14:paraId="67BD6B09" w14:textId="77777777" w:rsidR="00B87E37" w:rsidRDefault="00000000">
            <w:pPr>
              <w:ind w:left="0" w:hanging="2"/>
              <w:jc w:val="both"/>
            </w:pPr>
            <w:r>
              <w:rPr>
                <w:b/>
                <w:bCs/>
              </w:rPr>
              <w:t>Level of studies:</w:t>
            </w:r>
            <w:r>
              <w:t xml:space="preserve">  Bachelor’s Degree students </w:t>
            </w:r>
          </w:p>
        </w:tc>
      </w:tr>
      <w:tr w:rsidR="00B87E37" w14:paraId="42899567" w14:textId="77777777">
        <w:tc>
          <w:tcPr>
            <w:tcW w:w="9322" w:type="dxa"/>
            <w:gridSpan w:val="2"/>
          </w:tcPr>
          <w:p w14:paraId="3068E0EC" w14:textId="77777777" w:rsidR="00B87E37" w:rsidRDefault="00000000">
            <w:pPr>
              <w:ind w:left="0" w:hanging="2"/>
              <w:jc w:val="both"/>
            </w:pPr>
            <w:r>
              <w:rPr>
                <w:b/>
                <w:bCs/>
              </w:rPr>
              <w:t>Conditional previous subjects:</w:t>
            </w:r>
            <w:r>
              <w:t xml:space="preserve"> no prerequisite </w:t>
            </w:r>
          </w:p>
        </w:tc>
      </w:tr>
      <w:tr w:rsidR="00B87E37" w14:paraId="2761A7CF" w14:textId="77777777">
        <w:tc>
          <w:tcPr>
            <w:tcW w:w="9322" w:type="dxa"/>
            <w:gridSpan w:val="2"/>
          </w:tcPr>
          <w:p w14:paraId="333557D3" w14:textId="77777777" w:rsidR="00B87E37" w:rsidRDefault="00000000">
            <w:pPr>
              <w:ind w:left="0" w:hanging="2"/>
              <w:jc w:val="both"/>
            </w:pPr>
            <w:r>
              <w:rPr>
                <w:b/>
                <w:bCs/>
              </w:rPr>
              <w:t>Requirements for the course:</w:t>
            </w:r>
            <w:r>
              <w:t xml:space="preserve"> </w:t>
            </w:r>
          </w:p>
          <w:p w14:paraId="20771777" w14:textId="77777777" w:rsidR="00B87E37" w:rsidRDefault="00000000">
            <w:pPr>
              <w:ind w:left="0" w:hanging="2"/>
              <w:jc w:val="both"/>
            </w:pPr>
            <w:r>
              <w:t>Active participation based upon class readings is mandatory and accounts for thirty percent of the overall grade. There will be three writing exercises, all of which will account for ten percent of the overall grade. Throughout the semester, students will complete one group presentation focused on a topic/theme in one of speeches in Plato’s Symposium. The group presentation accounts for twenty percent of the overall grade. At the end of the semester, each student will write an essay on a chosen topic related to mandatory readings and class discussions. The final essay will account for the twenty percent of the overall grade.</w:t>
            </w:r>
          </w:p>
          <w:p w14:paraId="13CBF398" w14:textId="77777777" w:rsidR="00B87E37" w:rsidRDefault="00000000">
            <w:pPr>
              <w:ind w:left="0" w:hanging="2"/>
              <w:jc w:val="both"/>
            </w:pPr>
            <w:r>
              <w:t xml:space="preserve">The grading scale is as follows: A – excellent: 100-93%; B – very good: 92-84%; C – good: 83-74%; D – satisfactory: 73-63%; E – sufficient: 62-51%; </w:t>
            </w:r>
            <w:proofErr w:type="spellStart"/>
            <w:r>
              <w:t>Fx</w:t>
            </w:r>
            <w:proofErr w:type="spellEnd"/>
            <w:r>
              <w:t xml:space="preserve"> – fail: 50-0%.</w:t>
            </w:r>
          </w:p>
          <w:p w14:paraId="124CCD03" w14:textId="77777777" w:rsidR="00B87E37" w:rsidRDefault="00000000">
            <w:pPr>
              <w:ind w:left="0" w:hanging="2"/>
              <w:jc w:val="both"/>
            </w:pPr>
            <w:r>
              <w:t>Passing a course assumes that student was not absent at more than 4 lessons.</w:t>
            </w:r>
          </w:p>
        </w:tc>
      </w:tr>
      <w:tr w:rsidR="00B87E37" w14:paraId="18B962B2" w14:textId="77777777">
        <w:tc>
          <w:tcPr>
            <w:tcW w:w="9322" w:type="dxa"/>
            <w:gridSpan w:val="2"/>
          </w:tcPr>
          <w:p w14:paraId="686F811F" w14:textId="77777777" w:rsidR="00B87E37" w:rsidRDefault="00000000">
            <w:pPr>
              <w:pBdr>
                <w:top w:val="nil"/>
                <w:left w:val="nil"/>
                <w:bottom w:val="nil"/>
                <w:right w:val="nil"/>
                <w:between w:val="nil"/>
              </w:pBdr>
              <w:spacing w:after="160" w:line="256" w:lineRule="auto"/>
              <w:ind w:left="0" w:hanging="2"/>
              <w:rPr>
                <w:color w:val="000000"/>
              </w:rPr>
            </w:pPr>
            <w:r>
              <w:rPr>
                <w:b/>
                <w:bCs/>
                <w:color w:val="000000"/>
              </w:rPr>
              <w:t>Learning outcomes:</w:t>
            </w:r>
            <w:r>
              <w:rPr>
                <w:color w:val="000000"/>
              </w:rPr>
              <w:t xml:space="preserve"> The aim of this course is to understand the relevance of Plato for modern times and to critically reflect on philosophical topics and specialized texts related to Plato’s </w:t>
            </w:r>
            <w:r>
              <w:rPr>
                <w:i/>
                <w:iCs/>
                <w:color w:val="000000"/>
              </w:rPr>
              <w:t>Symposium</w:t>
            </w:r>
            <w:r>
              <w:rPr>
                <w:color w:val="000000"/>
              </w:rPr>
              <w:t xml:space="preserve">. Students are expected to present a consistent and comprehensive view of the Ancient Greek notions of Eros and to compare and contrast Platonic and modern notions of Eros. Interpretations and relevant commentaries by Strauss, Heidegger, Nietzsche, and Marcuse, but also of scholars such as Rosen, </w:t>
            </w:r>
            <w:proofErr w:type="spellStart"/>
            <w:r>
              <w:rPr>
                <w:color w:val="000000"/>
              </w:rPr>
              <w:t>Vlastos</w:t>
            </w:r>
            <w:proofErr w:type="spellEnd"/>
            <w:r>
              <w:rPr>
                <w:color w:val="000000"/>
              </w:rPr>
              <w:t xml:space="preserve">, and Nehamas are to be engaged with sufficiently for participating in in-class discussions. Along with attaining a comprehensive understanding of the various speeches in </w:t>
            </w:r>
            <w:r>
              <w:rPr>
                <w:i/>
                <w:iCs/>
                <w:color w:val="000000"/>
              </w:rPr>
              <w:t>The Symposium</w:t>
            </w:r>
            <w:r>
              <w:rPr>
                <w:color w:val="000000"/>
              </w:rPr>
              <w:t xml:space="preserve">, and particularly the ideas of Socrates/Diotima, students are expected to gain familiarity with the Platonic notions of virtue, beauty and the </w:t>
            </w:r>
            <w:proofErr w:type="gramStart"/>
            <w:r>
              <w:rPr>
                <w:color w:val="000000"/>
              </w:rPr>
              <w:t>good,  and</w:t>
            </w:r>
            <w:proofErr w:type="gramEnd"/>
            <w:r>
              <w:rPr>
                <w:color w:val="000000"/>
              </w:rPr>
              <w:t xml:space="preserve"> to subsequently critically reflect on these notions in the context of contemporary society. </w:t>
            </w:r>
          </w:p>
        </w:tc>
      </w:tr>
      <w:tr w:rsidR="00B87E37" w14:paraId="6569E9F3" w14:textId="77777777">
        <w:tc>
          <w:tcPr>
            <w:tcW w:w="9322" w:type="dxa"/>
            <w:gridSpan w:val="2"/>
          </w:tcPr>
          <w:p w14:paraId="1B0C17BD" w14:textId="77777777" w:rsidR="00B87E37" w:rsidRDefault="00000000">
            <w:pPr>
              <w:ind w:left="0" w:hanging="2"/>
            </w:pPr>
            <w:r>
              <w:rPr>
                <w:b/>
                <w:bCs/>
              </w:rPr>
              <w:t xml:space="preserve">Brief outline of the course: </w:t>
            </w:r>
            <w:r>
              <w:t xml:space="preserve">Introduction to Plato &amp; Apollodorus, Aristodemus, Pausanias I, Pausanias II, </w:t>
            </w:r>
            <w:proofErr w:type="spellStart"/>
            <w:r>
              <w:t>Eryximachus</w:t>
            </w:r>
            <w:proofErr w:type="spellEnd"/>
            <w:r>
              <w:t xml:space="preserve"> I, </w:t>
            </w:r>
            <w:proofErr w:type="spellStart"/>
            <w:r>
              <w:t>Eryximachus</w:t>
            </w:r>
            <w:proofErr w:type="spellEnd"/>
            <w:r>
              <w:t xml:space="preserve"> II, Aristophanes I, Aristophanes II, Agathon I, Agathon II, Agathon in dialogue with Socrates, Socrates/Diotima I, Socrates/Diotima II, Socrates/Diotima III, Socrates/Diotima IV, Socrates/Diotima V, Alcibiades, Alcibiades II, The Symposium (analysis), Nietzsche &amp; Heidegger, Secondary Literature I, Secondary Literature II &amp; Marcuse.</w:t>
            </w:r>
          </w:p>
          <w:p w14:paraId="39F775AB" w14:textId="77777777" w:rsidR="00B87E37" w:rsidRDefault="00B87E37">
            <w:pPr>
              <w:pBdr>
                <w:top w:val="nil"/>
                <w:left w:val="nil"/>
                <w:bottom w:val="nil"/>
                <w:right w:val="nil"/>
                <w:between w:val="nil"/>
              </w:pBdr>
              <w:spacing w:line="240" w:lineRule="auto"/>
              <w:ind w:left="0" w:hanging="2"/>
              <w:jc w:val="both"/>
              <w:rPr>
                <w:color w:val="000000"/>
              </w:rPr>
            </w:pPr>
          </w:p>
        </w:tc>
      </w:tr>
      <w:tr w:rsidR="00B87E37" w14:paraId="30913372" w14:textId="77777777">
        <w:tc>
          <w:tcPr>
            <w:tcW w:w="9322" w:type="dxa"/>
            <w:gridSpan w:val="2"/>
          </w:tcPr>
          <w:p w14:paraId="2B40FE66" w14:textId="77777777" w:rsidR="00B87E37" w:rsidRDefault="00000000">
            <w:pPr>
              <w:ind w:left="0" w:hanging="2"/>
            </w:pPr>
            <w:bookmarkStart w:id="0" w:name="_heading=h.q27yw9ifs4nq" w:colFirst="0" w:colLast="0"/>
            <w:bookmarkEnd w:id="0"/>
            <w:r>
              <w:rPr>
                <w:b/>
                <w:bCs/>
              </w:rPr>
              <w:t>Recommended readings:</w:t>
            </w:r>
          </w:p>
          <w:p w14:paraId="776C50D7" w14:textId="77777777" w:rsidR="00B87E37" w:rsidRDefault="00B87E37">
            <w:pPr>
              <w:ind w:left="0" w:hanging="2"/>
            </w:pPr>
          </w:p>
          <w:p w14:paraId="11663461" w14:textId="77777777" w:rsidR="00B87E37" w:rsidRDefault="00000000">
            <w:pPr>
              <w:ind w:left="0" w:hanging="2"/>
            </w:pPr>
            <w:r>
              <w:t>Brentlinger, John A. “The Nature of Love,” in The Symposium of Plato, translated by Suzy Q</w:t>
            </w:r>
          </w:p>
          <w:p w14:paraId="18F432D9" w14:textId="77777777" w:rsidR="00B87E37" w:rsidRDefault="00000000">
            <w:pPr>
              <w:ind w:left="0" w:hanging="2"/>
            </w:pPr>
            <w:r>
              <w:t>Amherst: The University of Massachusetts Press, 1970.</w:t>
            </w:r>
          </w:p>
          <w:p w14:paraId="6B4F7EDA" w14:textId="77777777" w:rsidR="00B87E37" w:rsidRDefault="00B87E37">
            <w:pPr>
              <w:pBdr>
                <w:top w:val="nil"/>
                <w:left w:val="nil"/>
                <w:bottom w:val="nil"/>
                <w:right w:val="nil"/>
                <w:between w:val="nil"/>
              </w:pBdr>
              <w:spacing w:line="240" w:lineRule="auto"/>
              <w:ind w:left="0" w:hanging="2"/>
              <w:rPr>
                <w:color w:val="000000"/>
              </w:rPr>
            </w:pPr>
          </w:p>
          <w:p w14:paraId="63C27119" w14:textId="77777777" w:rsidR="00B87E37" w:rsidRDefault="00000000">
            <w:pPr>
              <w:ind w:left="0" w:hanging="2"/>
            </w:pPr>
            <w:r>
              <w:t>Cornford, F. M. “The Doctrine of Eros in Plato’s Symposium” Cambridge University Press,</w:t>
            </w:r>
          </w:p>
          <w:p w14:paraId="3579A852" w14:textId="77777777" w:rsidR="00B87E37" w:rsidRDefault="00000000">
            <w:pPr>
              <w:ind w:left="0" w:hanging="2"/>
            </w:pPr>
            <w:r>
              <w:t>1950.</w:t>
            </w:r>
          </w:p>
          <w:p w14:paraId="173B1C45" w14:textId="77777777" w:rsidR="00B87E37" w:rsidRDefault="00B87E37">
            <w:pPr>
              <w:pBdr>
                <w:top w:val="nil"/>
                <w:left w:val="nil"/>
                <w:bottom w:val="nil"/>
                <w:right w:val="nil"/>
                <w:between w:val="nil"/>
              </w:pBdr>
              <w:spacing w:line="240" w:lineRule="auto"/>
              <w:ind w:left="0" w:hanging="2"/>
              <w:rPr>
                <w:color w:val="000000"/>
              </w:rPr>
            </w:pPr>
          </w:p>
          <w:p w14:paraId="51B84BAC" w14:textId="77777777" w:rsidR="00B87E37" w:rsidRDefault="00000000">
            <w:pPr>
              <w:pBdr>
                <w:top w:val="nil"/>
                <w:left w:val="nil"/>
                <w:bottom w:val="nil"/>
                <w:right w:val="nil"/>
                <w:between w:val="nil"/>
              </w:pBdr>
              <w:spacing w:line="240" w:lineRule="auto"/>
              <w:ind w:left="0" w:hanging="2"/>
              <w:rPr>
                <w:color w:val="000000"/>
              </w:rPr>
            </w:pPr>
            <w:proofErr w:type="spellStart"/>
            <w:r>
              <w:rPr>
                <w:color w:val="000000"/>
              </w:rPr>
              <w:lastRenderedPageBreak/>
              <w:t>Destrée</w:t>
            </w:r>
            <w:proofErr w:type="spellEnd"/>
            <w:r>
              <w:rPr>
                <w:color w:val="000000"/>
              </w:rPr>
              <w:t xml:space="preserve">, Pierre and Zina Giannopoulou. </w:t>
            </w:r>
            <w:r>
              <w:rPr>
                <w:i/>
                <w:iCs/>
                <w:color w:val="000000"/>
              </w:rPr>
              <w:t>Plato’s Symposium: A Critical Guide</w:t>
            </w:r>
            <w:r>
              <w:rPr>
                <w:color w:val="000000"/>
              </w:rPr>
              <w:t>. Cambridge</w:t>
            </w:r>
          </w:p>
          <w:p w14:paraId="263BDFB3" w14:textId="77777777" w:rsidR="00B87E37" w:rsidRDefault="00000000">
            <w:pPr>
              <w:pBdr>
                <w:top w:val="nil"/>
                <w:left w:val="nil"/>
                <w:bottom w:val="nil"/>
                <w:right w:val="nil"/>
                <w:between w:val="nil"/>
              </w:pBdr>
              <w:spacing w:line="240" w:lineRule="auto"/>
              <w:ind w:left="0" w:hanging="2"/>
              <w:rPr>
                <w:color w:val="000000"/>
              </w:rPr>
            </w:pPr>
            <w:r>
              <w:rPr>
                <w:color w:val="000000"/>
              </w:rPr>
              <w:t xml:space="preserve">University Press, 2007. </w:t>
            </w:r>
          </w:p>
          <w:p w14:paraId="6201A42D" w14:textId="77777777" w:rsidR="00B87E37" w:rsidRDefault="00B87E37">
            <w:pPr>
              <w:pBdr>
                <w:top w:val="nil"/>
                <w:left w:val="nil"/>
                <w:bottom w:val="nil"/>
                <w:right w:val="nil"/>
                <w:between w:val="nil"/>
              </w:pBdr>
              <w:spacing w:line="240" w:lineRule="auto"/>
              <w:ind w:left="0" w:hanging="2"/>
              <w:rPr>
                <w:color w:val="000000"/>
              </w:rPr>
            </w:pPr>
          </w:p>
          <w:p w14:paraId="74043D7E" w14:textId="77777777" w:rsidR="00B87E37" w:rsidRDefault="00000000">
            <w:pPr>
              <w:ind w:left="0" w:hanging="2"/>
            </w:pPr>
            <w:r>
              <w:t xml:space="preserve">Heidegger, Martin. “The End of Philosophy and The Task of Thinking.” </w:t>
            </w:r>
            <w:r>
              <w:rPr>
                <w:i/>
                <w:iCs/>
              </w:rPr>
              <w:t>Basic Writings: Ten</w:t>
            </w:r>
          </w:p>
          <w:p w14:paraId="61B8013C" w14:textId="77777777" w:rsidR="00B87E37" w:rsidRDefault="00000000">
            <w:pPr>
              <w:ind w:left="0" w:hanging="2"/>
            </w:pPr>
            <w:r>
              <w:rPr>
                <w:i/>
                <w:iCs/>
              </w:rPr>
              <w:t>Key Essays plus the Introduction to Being and Time</w:t>
            </w:r>
            <w:r>
              <w:t xml:space="preserve">, HarperCollins Publishers,1993. </w:t>
            </w:r>
          </w:p>
          <w:p w14:paraId="6B143B61" w14:textId="77777777" w:rsidR="00B87E37" w:rsidRDefault="00B87E37">
            <w:pPr>
              <w:ind w:left="0" w:hanging="2"/>
            </w:pPr>
          </w:p>
          <w:p w14:paraId="0236D740" w14:textId="77777777" w:rsidR="00B87E37" w:rsidRDefault="00000000">
            <w:pPr>
              <w:ind w:left="0" w:hanging="2"/>
            </w:pPr>
            <w:r>
              <w:t xml:space="preserve">Marcuse, Herbert. </w:t>
            </w:r>
            <w:r>
              <w:rPr>
                <w:i/>
                <w:iCs/>
              </w:rPr>
              <w:t>Eros and Civilization: a philosophical inquiry into Freud</w:t>
            </w:r>
            <w:r>
              <w:t>, The Beacon</w:t>
            </w:r>
          </w:p>
          <w:p w14:paraId="0CEC7204" w14:textId="77777777" w:rsidR="00B87E37" w:rsidRDefault="00000000">
            <w:pPr>
              <w:ind w:left="0" w:hanging="2"/>
            </w:pPr>
            <w:r>
              <w:t>Press, 1966.</w:t>
            </w:r>
          </w:p>
          <w:p w14:paraId="65DECD08" w14:textId="77777777" w:rsidR="00B87E37" w:rsidRDefault="00B87E37">
            <w:pPr>
              <w:pBdr>
                <w:top w:val="nil"/>
                <w:left w:val="nil"/>
                <w:bottom w:val="nil"/>
                <w:right w:val="nil"/>
                <w:between w:val="nil"/>
              </w:pBdr>
              <w:spacing w:line="240" w:lineRule="auto"/>
              <w:ind w:left="0" w:hanging="2"/>
              <w:rPr>
                <w:color w:val="000000"/>
              </w:rPr>
            </w:pPr>
          </w:p>
          <w:p w14:paraId="2F6CAAFA" w14:textId="77777777" w:rsidR="00B87E37" w:rsidRDefault="00000000">
            <w:pPr>
              <w:pBdr>
                <w:top w:val="nil"/>
                <w:left w:val="nil"/>
                <w:bottom w:val="nil"/>
                <w:right w:val="nil"/>
                <w:between w:val="nil"/>
              </w:pBdr>
              <w:spacing w:line="240" w:lineRule="auto"/>
              <w:ind w:left="0" w:hanging="2"/>
              <w:rPr>
                <w:color w:val="000000"/>
              </w:rPr>
            </w:pPr>
            <w:r>
              <w:rPr>
                <w:color w:val="000000"/>
              </w:rPr>
              <w:t>Nehamas, Alexander. “Only in the Contemplation of Beauty is Human Life Worth Living’</w:t>
            </w:r>
          </w:p>
          <w:p w14:paraId="76E805C5" w14:textId="77777777" w:rsidR="00B87E37" w:rsidRDefault="00000000">
            <w:pPr>
              <w:pBdr>
                <w:top w:val="nil"/>
                <w:left w:val="nil"/>
                <w:bottom w:val="nil"/>
                <w:right w:val="nil"/>
                <w:between w:val="nil"/>
              </w:pBdr>
              <w:spacing w:line="240" w:lineRule="auto"/>
              <w:ind w:left="0" w:hanging="2"/>
              <w:rPr>
                <w:color w:val="000000"/>
              </w:rPr>
            </w:pPr>
            <w:r>
              <w:rPr>
                <w:color w:val="000000"/>
              </w:rPr>
              <w:t xml:space="preserve">            Plato, Symposium 211d”, </w:t>
            </w:r>
            <w:r>
              <w:rPr>
                <w:i/>
                <w:iCs/>
                <w:color w:val="000000"/>
              </w:rPr>
              <w:t>European Journal of Philosophy</w:t>
            </w:r>
            <w:r>
              <w:rPr>
                <w:color w:val="000000"/>
              </w:rPr>
              <w:t xml:space="preserve">, vol. 15, no.1, 2007, p. </w:t>
            </w:r>
          </w:p>
          <w:p w14:paraId="3E324550" w14:textId="77777777" w:rsidR="00B87E37" w:rsidRDefault="00000000">
            <w:pPr>
              <w:pBdr>
                <w:top w:val="nil"/>
                <w:left w:val="nil"/>
                <w:bottom w:val="nil"/>
                <w:right w:val="nil"/>
                <w:between w:val="nil"/>
              </w:pBdr>
              <w:spacing w:line="240" w:lineRule="auto"/>
              <w:ind w:left="0" w:hanging="2"/>
              <w:rPr>
                <w:color w:val="000000"/>
              </w:rPr>
            </w:pPr>
            <w:r>
              <w:rPr>
                <w:color w:val="000000"/>
              </w:rPr>
              <w:t xml:space="preserve">            1-18. </w:t>
            </w:r>
          </w:p>
          <w:p w14:paraId="2999D386" w14:textId="77777777" w:rsidR="00B87E37" w:rsidRDefault="00B87E37">
            <w:pPr>
              <w:pBdr>
                <w:top w:val="nil"/>
                <w:left w:val="nil"/>
                <w:bottom w:val="nil"/>
                <w:right w:val="nil"/>
                <w:between w:val="nil"/>
              </w:pBdr>
              <w:spacing w:line="240" w:lineRule="auto"/>
              <w:ind w:left="0" w:hanging="2"/>
              <w:rPr>
                <w:color w:val="000000"/>
              </w:rPr>
            </w:pPr>
          </w:p>
          <w:p w14:paraId="0D547DC5" w14:textId="77777777" w:rsidR="00B87E37" w:rsidRDefault="00000000">
            <w:pPr>
              <w:ind w:left="0" w:hanging="2"/>
            </w:pPr>
            <w:r>
              <w:t xml:space="preserve">Nietzsche, Friedrich. </w:t>
            </w:r>
            <w:r>
              <w:rPr>
                <w:i/>
                <w:iCs/>
              </w:rPr>
              <w:t>The Anti-Christ, Ecce Homo, Twilight of the Idols</w:t>
            </w:r>
            <w:r>
              <w:t xml:space="preserve">, Cambridge          </w:t>
            </w:r>
          </w:p>
          <w:p w14:paraId="7D69A9FB" w14:textId="77777777" w:rsidR="00B87E37" w:rsidRDefault="00000000">
            <w:pPr>
              <w:ind w:left="0" w:hanging="2"/>
            </w:pPr>
            <w:r>
              <w:t xml:space="preserve">            University Press, 2005. </w:t>
            </w:r>
          </w:p>
          <w:p w14:paraId="59AB03F5" w14:textId="77777777" w:rsidR="00B87E37" w:rsidRDefault="00B87E37">
            <w:pPr>
              <w:ind w:left="0" w:hanging="2"/>
            </w:pPr>
          </w:p>
          <w:p w14:paraId="10C3BEED" w14:textId="77777777" w:rsidR="00B87E37" w:rsidRDefault="00000000">
            <w:pPr>
              <w:ind w:left="0" w:hanging="2"/>
            </w:pPr>
            <w:r>
              <w:t xml:space="preserve">Nygren, Anders. </w:t>
            </w:r>
            <w:r>
              <w:rPr>
                <w:i/>
                <w:iCs/>
              </w:rPr>
              <w:t>Eros and Agape</w:t>
            </w:r>
            <w:r>
              <w:t>. New York: Harper and Row, 1969.</w:t>
            </w:r>
          </w:p>
          <w:p w14:paraId="4080334F" w14:textId="77777777" w:rsidR="00B87E37" w:rsidRDefault="00B87E37">
            <w:pPr>
              <w:ind w:left="0" w:hanging="2"/>
            </w:pPr>
          </w:p>
          <w:p w14:paraId="113D33CC" w14:textId="77777777" w:rsidR="00B87E37" w:rsidRDefault="00000000">
            <w:pPr>
              <w:pBdr>
                <w:top w:val="nil"/>
                <w:left w:val="nil"/>
                <w:bottom w:val="nil"/>
                <w:right w:val="nil"/>
                <w:between w:val="nil"/>
              </w:pBdr>
              <w:spacing w:line="240" w:lineRule="auto"/>
              <w:ind w:left="0" w:hanging="2"/>
              <w:rPr>
                <w:color w:val="000000"/>
              </w:rPr>
            </w:pPr>
            <w:r>
              <w:rPr>
                <w:i/>
                <w:iCs/>
                <w:color w:val="000000"/>
              </w:rPr>
              <w:t>Plato Symposium</w:t>
            </w:r>
            <w:r>
              <w:rPr>
                <w:color w:val="000000"/>
              </w:rPr>
              <w:t xml:space="preserve">, translated by Alexander Nehamas and Paul Woodruff, </w:t>
            </w:r>
            <w:r>
              <w:rPr>
                <w:i/>
                <w:iCs/>
                <w:color w:val="000000"/>
              </w:rPr>
              <w:t>Hackett Publishing</w:t>
            </w:r>
          </w:p>
          <w:p w14:paraId="73F8C145" w14:textId="77777777" w:rsidR="00B87E37" w:rsidRDefault="00000000">
            <w:pPr>
              <w:pBdr>
                <w:top w:val="nil"/>
                <w:left w:val="nil"/>
                <w:bottom w:val="nil"/>
                <w:right w:val="nil"/>
                <w:between w:val="nil"/>
              </w:pBdr>
              <w:spacing w:line="240" w:lineRule="auto"/>
              <w:ind w:left="0" w:hanging="2"/>
              <w:rPr>
                <w:color w:val="000000"/>
              </w:rPr>
            </w:pPr>
            <w:r>
              <w:rPr>
                <w:i/>
                <w:iCs/>
                <w:color w:val="000000"/>
              </w:rPr>
              <w:t>Company, 1989.</w:t>
            </w:r>
          </w:p>
          <w:p w14:paraId="291B5BB2" w14:textId="77777777" w:rsidR="00B87E37" w:rsidRDefault="00B87E37">
            <w:pPr>
              <w:pBdr>
                <w:top w:val="nil"/>
                <w:left w:val="nil"/>
                <w:bottom w:val="nil"/>
                <w:right w:val="nil"/>
                <w:between w:val="nil"/>
              </w:pBdr>
              <w:spacing w:line="240" w:lineRule="auto"/>
              <w:ind w:left="0" w:hanging="2"/>
              <w:rPr>
                <w:color w:val="000000"/>
              </w:rPr>
            </w:pPr>
          </w:p>
          <w:p w14:paraId="1999773C" w14:textId="77777777" w:rsidR="00B87E37" w:rsidRDefault="00000000">
            <w:pPr>
              <w:pBdr>
                <w:top w:val="nil"/>
                <w:left w:val="nil"/>
                <w:bottom w:val="nil"/>
                <w:right w:val="nil"/>
                <w:between w:val="nil"/>
              </w:pBdr>
              <w:spacing w:line="240" w:lineRule="auto"/>
              <w:ind w:left="0" w:hanging="2"/>
              <w:rPr>
                <w:color w:val="000000"/>
              </w:rPr>
            </w:pPr>
            <w:r>
              <w:rPr>
                <w:color w:val="000000"/>
              </w:rPr>
              <w:t xml:space="preserve">Rosen, Stanley. </w:t>
            </w:r>
            <w:r>
              <w:rPr>
                <w:i/>
                <w:iCs/>
                <w:color w:val="000000"/>
              </w:rPr>
              <w:t>Plato’s Symposium</w:t>
            </w:r>
            <w:r>
              <w:rPr>
                <w:color w:val="000000"/>
              </w:rPr>
              <w:t>. Yale University Press, 1987.</w:t>
            </w:r>
          </w:p>
          <w:p w14:paraId="2F7FFBC9" w14:textId="77777777" w:rsidR="00B87E37" w:rsidRDefault="00B87E37">
            <w:pPr>
              <w:pBdr>
                <w:top w:val="nil"/>
                <w:left w:val="nil"/>
                <w:bottom w:val="nil"/>
                <w:right w:val="nil"/>
                <w:between w:val="nil"/>
              </w:pBdr>
              <w:spacing w:line="240" w:lineRule="auto"/>
              <w:ind w:left="0" w:hanging="2"/>
              <w:rPr>
                <w:color w:val="000000"/>
              </w:rPr>
            </w:pPr>
          </w:p>
          <w:p w14:paraId="5BEB1054" w14:textId="77777777" w:rsidR="00B87E37" w:rsidRDefault="00000000">
            <w:pPr>
              <w:pBdr>
                <w:top w:val="nil"/>
                <w:left w:val="nil"/>
                <w:bottom w:val="nil"/>
                <w:right w:val="nil"/>
                <w:between w:val="nil"/>
              </w:pBdr>
              <w:spacing w:line="240" w:lineRule="auto"/>
              <w:ind w:left="0" w:hanging="2"/>
              <w:rPr>
                <w:color w:val="000000"/>
              </w:rPr>
            </w:pPr>
            <w:r>
              <w:rPr>
                <w:color w:val="000000"/>
              </w:rPr>
              <w:t xml:space="preserve">Strauss, Leo. </w:t>
            </w:r>
            <w:r>
              <w:rPr>
                <w:i/>
                <w:iCs/>
                <w:color w:val="000000"/>
              </w:rPr>
              <w:t>On Plato’s Symposium</w:t>
            </w:r>
            <w:r>
              <w:rPr>
                <w:color w:val="000000"/>
              </w:rPr>
              <w:t xml:space="preserve">. The University of Chicago Press, 2001. </w:t>
            </w:r>
          </w:p>
          <w:p w14:paraId="63DE5D33" w14:textId="77777777" w:rsidR="00B87E37" w:rsidRDefault="00B87E37">
            <w:pPr>
              <w:pBdr>
                <w:top w:val="nil"/>
                <w:left w:val="nil"/>
                <w:bottom w:val="nil"/>
                <w:right w:val="nil"/>
                <w:between w:val="nil"/>
              </w:pBdr>
              <w:spacing w:line="240" w:lineRule="auto"/>
              <w:ind w:left="0" w:hanging="2"/>
              <w:rPr>
                <w:color w:val="000000"/>
              </w:rPr>
            </w:pPr>
          </w:p>
          <w:p w14:paraId="64AA62F0" w14:textId="77777777" w:rsidR="00B87E37" w:rsidRDefault="00000000">
            <w:pPr>
              <w:pBdr>
                <w:top w:val="nil"/>
                <w:left w:val="nil"/>
                <w:bottom w:val="nil"/>
                <w:right w:val="nil"/>
                <w:between w:val="nil"/>
              </w:pBdr>
              <w:spacing w:line="240" w:lineRule="auto"/>
              <w:ind w:left="0" w:hanging="2"/>
              <w:rPr>
                <w:color w:val="000000"/>
              </w:rPr>
            </w:pPr>
            <w:proofErr w:type="spellStart"/>
            <w:r>
              <w:rPr>
                <w:color w:val="000000"/>
              </w:rPr>
              <w:t>Vlastos</w:t>
            </w:r>
            <w:proofErr w:type="spellEnd"/>
            <w:r>
              <w:rPr>
                <w:color w:val="000000"/>
              </w:rPr>
              <w:t xml:space="preserve">, Gregory. </w:t>
            </w:r>
            <w:r>
              <w:rPr>
                <w:i/>
                <w:iCs/>
                <w:color w:val="000000"/>
              </w:rPr>
              <w:t>Platonic Studies</w:t>
            </w:r>
            <w:r>
              <w:rPr>
                <w:color w:val="000000"/>
              </w:rPr>
              <w:t>. Princeton University Press, 1973.</w:t>
            </w:r>
          </w:p>
          <w:p w14:paraId="77A2833A" w14:textId="77777777" w:rsidR="00B87E37" w:rsidRDefault="00B87E37">
            <w:pPr>
              <w:ind w:left="0" w:hanging="2"/>
            </w:pPr>
          </w:p>
        </w:tc>
      </w:tr>
      <w:tr w:rsidR="00B87E37" w14:paraId="4407DC1A" w14:textId="77777777">
        <w:tc>
          <w:tcPr>
            <w:tcW w:w="9322" w:type="dxa"/>
            <w:gridSpan w:val="2"/>
          </w:tcPr>
          <w:p w14:paraId="4D6F5B21" w14:textId="77777777" w:rsidR="00B87E37" w:rsidRDefault="00000000">
            <w:pPr>
              <w:ind w:left="0" w:hanging="2"/>
              <w:jc w:val="both"/>
            </w:pPr>
            <w:r>
              <w:rPr>
                <w:b/>
                <w:bCs/>
              </w:rPr>
              <w:lastRenderedPageBreak/>
              <w:t>Language of the course:</w:t>
            </w:r>
            <w:r>
              <w:t xml:space="preserve"> English</w:t>
            </w:r>
          </w:p>
        </w:tc>
      </w:tr>
      <w:tr w:rsidR="00B87E37" w14:paraId="4766E978" w14:textId="77777777">
        <w:tc>
          <w:tcPr>
            <w:tcW w:w="9322" w:type="dxa"/>
            <w:gridSpan w:val="2"/>
          </w:tcPr>
          <w:p w14:paraId="7C93A67C" w14:textId="77777777" w:rsidR="00B87E37" w:rsidRDefault="00000000">
            <w:pPr>
              <w:ind w:left="0" w:hanging="2"/>
              <w:jc w:val="both"/>
            </w:pPr>
            <w:r>
              <w:rPr>
                <w:b/>
                <w:bCs/>
              </w:rPr>
              <w:t>Notes:</w:t>
            </w:r>
            <w:r>
              <w:t xml:space="preserve"> </w:t>
            </w:r>
          </w:p>
        </w:tc>
      </w:tr>
      <w:tr w:rsidR="00B87E37" w14:paraId="290557D8" w14:textId="77777777">
        <w:tc>
          <w:tcPr>
            <w:tcW w:w="9322" w:type="dxa"/>
            <w:gridSpan w:val="2"/>
          </w:tcPr>
          <w:p w14:paraId="52177556" w14:textId="77777777" w:rsidR="00B87E37" w:rsidRDefault="00000000">
            <w:pPr>
              <w:ind w:left="0" w:hanging="2"/>
              <w:jc w:val="both"/>
            </w:pPr>
            <w:r>
              <w:rPr>
                <w:b/>
                <w:bCs/>
              </w:rPr>
              <w:t>Evaluation</w:t>
            </w:r>
          </w:p>
          <w:p w14:paraId="68FD4ECA" w14:textId="77777777" w:rsidR="00B87E37" w:rsidRDefault="00000000">
            <w:pPr>
              <w:ind w:left="0" w:hanging="2"/>
              <w:jc w:val="both"/>
            </w:pPr>
            <w:r>
              <w:t xml:space="preserve">Total number of evaluated students: </w:t>
            </w:r>
          </w:p>
          <w:tbl>
            <w:tblPr>
              <w:tblStyle w:val="a0"/>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6"/>
              <w:gridCol w:w="1497"/>
              <w:gridCol w:w="1497"/>
              <w:gridCol w:w="1497"/>
              <w:gridCol w:w="1497"/>
              <w:gridCol w:w="1497"/>
            </w:tblGrid>
            <w:tr w:rsidR="00B87E37" w14:paraId="670661FA" w14:textId="77777777">
              <w:tc>
                <w:tcPr>
                  <w:tcW w:w="1496" w:type="dxa"/>
                  <w:tcBorders>
                    <w:top w:val="single" w:sz="4" w:space="0" w:color="000000"/>
                    <w:left w:val="single" w:sz="4" w:space="0" w:color="000000"/>
                    <w:bottom w:val="single" w:sz="4" w:space="0" w:color="000000"/>
                    <w:right w:val="single" w:sz="4" w:space="0" w:color="000000"/>
                  </w:tcBorders>
                </w:tcPr>
                <w:p w14:paraId="58C48076" w14:textId="77777777" w:rsidR="00B87E37" w:rsidRDefault="00000000">
                  <w:pPr>
                    <w:ind w:left="0" w:hanging="2"/>
                    <w:jc w:val="center"/>
                  </w:pPr>
                  <w:r>
                    <w:t>A</w:t>
                  </w:r>
                </w:p>
              </w:tc>
              <w:tc>
                <w:tcPr>
                  <w:tcW w:w="1497" w:type="dxa"/>
                  <w:tcBorders>
                    <w:top w:val="single" w:sz="4" w:space="0" w:color="000000"/>
                    <w:left w:val="single" w:sz="4" w:space="0" w:color="000000"/>
                    <w:bottom w:val="single" w:sz="4" w:space="0" w:color="000000"/>
                    <w:right w:val="single" w:sz="4" w:space="0" w:color="000000"/>
                  </w:tcBorders>
                </w:tcPr>
                <w:p w14:paraId="058109FC" w14:textId="77777777" w:rsidR="00B87E37" w:rsidRDefault="00000000">
                  <w:pPr>
                    <w:ind w:left="0" w:hanging="2"/>
                    <w:jc w:val="center"/>
                  </w:pPr>
                  <w:r>
                    <w:t>B</w:t>
                  </w:r>
                </w:p>
              </w:tc>
              <w:tc>
                <w:tcPr>
                  <w:tcW w:w="1497" w:type="dxa"/>
                  <w:tcBorders>
                    <w:top w:val="single" w:sz="4" w:space="0" w:color="000000"/>
                    <w:left w:val="single" w:sz="4" w:space="0" w:color="000000"/>
                    <w:bottom w:val="single" w:sz="4" w:space="0" w:color="000000"/>
                    <w:right w:val="single" w:sz="4" w:space="0" w:color="000000"/>
                  </w:tcBorders>
                </w:tcPr>
                <w:p w14:paraId="4268B73A" w14:textId="77777777" w:rsidR="00B87E37" w:rsidRDefault="00000000">
                  <w:pPr>
                    <w:ind w:left="0" w:hanging="2"/>
                    <w:jc w:val="center"/>
                  </w:pPr>
                  <w:r>
                    <w:t>C</w:t>
                  </w:r>
                </w:p>
              </w:tc>
              <w:tc>
                <w:tcPr>
                  <w:tcW w:w="1497" w:type="dxa"/>
                  <w:tcBorders>
                    <w:top w:val="single" w:sz="4" w:space="0" w:color="000000"/>
                    <w:left w:val="single" w:sz="4" w:space="0" w:color="000000"/>
                    <w:bottom w:val="single" w:sz="4" w:space="0" w:color="000000"/>
                    <w:right w:val="single" w:sz="4" w:space="0" w:color="000000"/>
                  </w:tcBorders>
                </w:tcPr>
                <w:p w14:paraId="464A0C21" w14:textId="77777777" w:rsidR="00B87E37" w:rsidRDefault="00000000">
                  <w:pPr>
                    <w:ind w:left="0" w:hanging="2"/>
                    <w:jc w:val="center"/>
                  </w:pPr>
                  <w:r>
                    <w:t>D</w:t>
                  </w:r>
                </w:p>
              </w:tc>
              <w:tc>
                <w:tcPr>
                  <w:tcW w:w="1497" w:type="dxa"/>
                  <w:tcBorders>
                    <w:top w:val="single" w:sz="4" w:space="0" w:color="000000"/>
                    <w:left w:val="single" w:sz="4" w:space="0" w:color="000000"/>
                    <w:bottom w:val="single" w:sz="4" w:space="0" w:color="000000"/>
                    <w:right w:val="single" w:sz="4" w:space="0" w:color="000000"/>
                  </w:tcBorders>
                </w:tcPr>
                <w:p w14:paraId="21C02296" w14:textId="77777777" w:rsidR="00B87E37" w:rsidRDefault="00000000">
                  <w:pPr>
                    <w:ind w:left="0" w:hanging="2"/>
                    <w:jc w:val="center"/>
                  </w:pPr>
                  <w:r>
                    <w:t>E</w:t>
                  </w:r>
                </w:p>
              </w:tc>
              <w:tc>
                <w:tcPr>
                  <w:tcW w:w="1497" w:type="dxa"/>
                  <w:tcBorders>
                    <w:top w:val="single" w:sz="4" w:space="0" w:color="000000"/>
                    <w:left w:val="single" w:sz="4" w:space="0" w:color="000000"/>
                    <w:bottom w:val="single" w:sz="4" w:space="0" w:color="000000"/>
                    <w:right w:val="single" w:sz="4" w:space="0" w:color="000000"/>
                  </w:tcBorders>
                </w:tcPr>
                <w:p w14:paraId="62FB8ABD" w14:textId="77777777" w:rsidR="00B87E37" w:rsidRDefault="00000000">
                  <w:pPr>
                    <w:ind w:left="0" w:hanging="2"/>
                    <w:jc w:val="center"/>
                  </w:pPr>
                  <w:r>
                    <w:t>FX</w:t>
                  </w:r>
                </w:p>
              </w:tc>
            </w:tr>
            <w:tr w:rsidR="00B87E37" w14:paraId="4586E57C" w14:textId="77777777">
              <w:tc>
                <w:tcPr>
                  <w:tcW w:w="1496" w:type="dxa"/>
                  <w:tcBorders>
                    <w:top w:val="single" w:sz="4" w:space="0" w:color="000000"/>
                    <w:left w:val="single" w:sz="4" w:space="0" w:color="000000"/>
                    <w:bottom w:val="single" w:sz="4" w:space="0" w:color="000000"/>
                    <w:right w:val="single" w:sz="4" w:space="0" w:color="000000"/>
                  </w:tcBorders>
                </w:tcPr>
                <w:p w14:paraId="7AE9B48B" w14:textId="77777777" w:rsidR="00B87E37" w:rsidRDefault="00000000">
                  <w:pPr>
                    <w:tabs>
                      <w:tab w:val="left" w:pos="540"/>
                      <w:tab w:val="center" w:pos="640"/>
                    </w:tabs>
                    <w:ind w:left="0" w:hanging="2"/>
                    <w:jc w:val="center"/>
                  </w:pPr>
                  <w:r>
                    <w:t>(percentage of students who got A)</w:t>
                  </w:r>
                </w:p>
              </w:tc>
              <w:tc>
                <w:tcPr>
                  <w:tcW w:w="1497" w:type="dxa"/>
                  <w:tcBorders>
                    <w:top w:val="single" w:sz="4" w:space="0" w:color="000000"/>
                    <w:left w:val="single" w:sz="4" w:space="0" w:color="000000"/>
                    <w:bottom w:val="single" w:sz="4" w:space="0" w:color="000000"/>
                    <w:right w:val="single" w:sz="4" w:space="0" w:color="000000"/>
                  </w:tcBorders>
                </w:tcPr>
                <w:p w14:paraId="72C03AF2" w14:textId="77777777" w:rsidR="00B87E37" w:rsidRDefault="00000000">
                  <w:pPr>
                    <w:ind w:left="0" w:hanging="2"/>
                    <w:jc w:val="center"/>
                  </w:pPr>
                  <w:r>
                    <w:t>(percentage of students who got B)</w:t>
                  </w:r>
                </w:p>
              </w:tc>
              <w:tc>
                <w:tcPr>
                  <w:tcW w:w="1497" w:type="dxa"/>
                  <w:tcBorders>
                    <w:top w:val="single" w:sz="4" w:space="0" w:color="000000"/>
                    <w:left w:val="single" w:sz="4" w:space="0" w:color="000000"/>
                    <w:bottom w:val="single" w:sz="4" w:space="0" w:color="000000"/>
                    <w:right w:val="single" w:sz="4" w:space="0" w:color="000000"/>
                  </w:tcBorders>
                </w:tcPr>
                <w:p w14:paraId="53A238E5" w14:textId="77777777" w:rsidR="00B87E37" w:rsidRDefault="00000000">
                  <w:pPr>
                    <w:ind w:left="0" w:hanging="2"/>
                    <w:jc w:val="center"/>
                  </w:pPr>
                  <w:r>
                    <w:t>(percentage of students who got C)</w:t>
                  </w:r>
                </w:p>
              </w:tc>
              <w:tc>
                <w:tcPr>
                  <w:tcW w:w="1497" w:type="dxa"/>
                  <w:tcBorders>
                    <w:top w:val="single" w:sz="4" w:space="0" w:color="000000"/>
                    <w:left w:val="single" w:sz="4" w:space="0" w:color="000000"/>
                    <w:bottom w:val="single" w:sz="4" w:space="0" w:color="000000"/>
                    <w:right w:val="single" w:sz="4" w:space="0" w:color="000000"/>
                  </w:tcBorders>
                </w:tcPr>
                <w:p w14:paraId="116D8116" w14:textId="77777777" w:rsidR="00B87E37" w:rsidRDefault="00000000">
                  <w:pPr>
                    <w:ind w:left="0" w:hanging="2"/>
                    <w:jc w:val="center"/>
                  </w:pPr>
                  <w:r>
                    <w:t>(percentage of students who got D)</w:t>
                  </w:r>
                </w:p>
              </w:tc>
              <w:tc>
                <w:tcPr>
                  <w:tcW w:w="1497" w:type="dxa"/>
                  <w:tcBorders>
                    <w:top w:val="single" w:sz="4" w:space="0" w:color="000000"/>
                    <w:left w:val="single" w:sz="4" w:space="0" w:color="000000"/>
                    <w:bottom w:val="single" w:sz="4" w:space="0" w:color="000000"/>
                    <w:right w:val="single" w:sz="4" w:space="0" w:color="000000"/>
                  </w:tcBorders>
                </w:tcPr>
                <w:p w14:paraId="30FDDEF1" w14:textId="77777777" w:rsidR="00B87E37" w:rsidRDefault="00000000">
                  <w:pPr>
                    <w:ind w:left="0" w:hanging="2"/>
                    <w:jc w:val="center"/>
                  </w:pPr>
                  <w:r>
                    <w:t>(percentage of students who got E)</w:t>
                  </w:r>
                </w:p>
              </w:tc>
              <w:tc>
                <w:tcPr>
                  <w:tcW w:w="1497" w:type="dxa"/>
                  <w:tcBorders>
                    <w:top w:val="single" w:sz="4" w:space="0" w:color="000000"/>
                    <w:left w:val="single" w:sz="4" w:space="0" w:color="000000"/>
                    <w:bottom w:val="single" w:sz="4" w:space="0" w:color="000000"/>
                    <w:right w:val="single" w:sz="4" w:space="0" w:color="000000"/>
                  </w:tcBorders>
                </w:tcPr>
                <w:p w14:paraId="165E9500" w14:textId="77777777" w:rsidR="00B87E37" w:rsidRDefault="00000000">
                  <w:pPr>
                    <w:ind w:left="0" w:hanging="2"/>
                    <w:jc w:val="center"/>
                  </w:pPr>
                  <w:r>
                    <w:t>(percentage of students who got FX)</w:t>
                  </w:r>
                </w:p>
              </w:tc>
            </w:tr>
          </w:tbl>
          <w:p w14:paraId="631EA0A2" w14:textId="77777777" w:rsidR="00B87E37" w:rsidRDefault="00B87E37">
            <w:pPr>
              <w:ind w:left="0" w:hanging="2"/>
              <w:jc w:val="both"/>
            </w:pPr>
          </w:p>
        </w:tc>
      </w:tr>
      <w:tr w:rsidR="00B87E37" w14:paraId="3FC3D510" w14:textId="77777777">
        <w:tc>
          <w:tcPr>
            <w:tcW w:w="9322" w:type="dxa"/>
            <w:gridSpan w:val="2"/>
          </w:tcPr>
          <w:p w14:paraId="4D07D003" w14:textId="77777777" w:rsidR="00B87E37" w:rsidRDefault="00000000">
            <w:pPr>
              <w:tabs>
                <w:tab w:val="left" w:pos="1530"/>
              </w:tabs>
              <w:ind w:left="0" w:hanging="2"/>
              <w:jc w:val="both"/>
            </w:pPr>
            <w:r>
              <w:rPr>
                <w:b/>
                <w:bCs/>
              </w:rPr>
              <w:t>Instructor:</w:t>
            </w:r>
            <w:r>
              <w:t xml:space="preserve"> S. D. Abrahám, MA.</w:t>
            </w:r>
          </w:p>
        </w:tc>
      </w:tr>
      <w:tr w:rsidR="00B87E37" w14:paraId="41694B39" w14:textId="77777777">
        <w:tc>
          <w:tcPr>
            <w:tcW w:w="9322" w:type="dxa"/>
            <w:gridSpan w:val="2"/>
          </w:tcPr>
          <w:p w14:paraId="56D195B6" w14:textId="77777777" w:rsidR="00B87E37" w:rsidRDefault="00000000">
            <w:pPr>
              <w:tabs>
                <w:tab w:val="left" w:pos="1530"/>
              </w:tabs>
              <w:ind w:left="0" w:hanging="2"/>
              <w:jc w:val="both"/>
            </w:pPr>
            <w:r>
              <w:rPr>
                <w:b/>
                <w:bCs/>
              </w:rPr>
              <w:t>Date of the last change:</w:t>
            </w:r>
            <w:r>
              <w:t xml:space="preserve"> 22.2.2026</w:t>
            </w:r>
          </w:p>
        </w:tc>
      </w:tr>
      <w:tr w:rsidR="00B87E37" w14:paraId="29E71942" w14:textId="77777777">
        <w:tc>
          <w:tcPr>
            <w:tcW w:w="9322" w:type="dxa"/>
            <w:gridSpan w:val="2"/>
          </w:tcPr>
          <w:p w14:paraId="7F7796F4" w14:textId="77777777" w:rsidR="00B87E37" w:rsidRDefault="00000000">
            <w:pPr>
              <w:tabs>
                <w:tab w:val="left" w:pos="1530"/>
              </w:tabs>
              <w:ind w:left="0" w:hanging="2"/>
              <w:jc w:val="both"/>
            </w:pPr>
            <w:r>
              <w:rPr>
                <w:b/>
                <w:bCs/>
              </w:rPr>
              <w:t>Approved:</w:t>
            </w:r>
            <w:r>
              <w:t xml:space="preserve"> Prof. </w:t>
            </w:r>
            <w:proofErr w:type="spellStart"/>
            <w:r>
              <w:t>PhDr</w:t>
            </w:r>
            <w:proofErr w:type="spellEnd"/>
            <w:r>
              <w:t xml:space="preserve">. František </w:t>
            </w:r>
            <w:proofErr w:type="spellStart"/>
            <w:r>
              <w:t>Novosád</w:t>
            </w:r>
            <w:proofErr w:type="spellEnd"/>
            <w:r>
              <w:t xml:space="preserve">, </w:t>
            </w:r>
            <w:proofErr w:type="spellStart"/>
            <w:r>
              <w:t>CSc</w:t>
            </w:r>
            <w:proofErr w:type="spellEnd"/>
            <w:r>
              <w:t>.</w:t>
            </w:r>
          </w:p>
        </w:tc>
      </w:tr>
    </w:tbl>
    <w:p w14:paraId="21C0D451" w14:textId="77777777" w:rsidR="00B87E37" w:rsidRDefault="00B87E37">
      <w:pPr>
        <w:jc w:val="both"/>
      </w:pPr>
    </w:p>
    <w:sectPr w:rsidR="00B87E37">
      <w:headerReference w:type="default" r:id="rId7"/>
      <w:footerReference w:type="default" r:id="rId8"/>
      <w:headerReference w:type="first" r:id="rId9"/>
      <w:footerReference w:type="first" r:id="rId10"/>
      <w:pgSz w:w="11906" w:h="16838"/>
      <w:pgMar w:top="1417" w:right="1417" w:bottom="1417" w:left="1417" w:header="567"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8A894" w14:textId="77777777" w:rsidR="00E96922" w:rsidRDefault="00E96922">
      <w:r>
        <w:separator/>
      </w:r>
    </w:p>
  </w:endnote>
  <w:endnote w:type="continuationSeparator" w:id="0">
    <w:p w14:paraId="5DD53261" w14:textId="77777777" w:rsidR="00E96922" w:rsidRDefault="00E96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41A0AD14-BE3B-4763-B403-5ED359324CB8}"/>
    <w:embedBold r:id="rId2" w:fontKey="{519071D3-0892-4CE1-BA86-F172AF67FC36}"/>
  </w:font>
  <w:font w:name="Tahoma">
    <w:panose1 w:val="020B0604030504040204"/>
    <w:charset w:val="EE"/>
    <w:family w:val="swiss"/>
    <w:pitch w:val="variable"/>
    <w:sig w:usb0="E1002EFF" w:usb1="C000605B" w:usb2="00000029" w:usb3="00000000" w:csb0="000101FF" w:csb1="00000000"/>
    <w:embedRegular r:id="rId3" w:fontKey="{0D8D75DB-9B9F-4EFC-BEEC-B81F1D35A54F}"/>
  </w:font>
  <w:font w:name="Liberation Serif">
    <w:altName w:val="Times New Roman"/>
    <w:charset w:val="EE"/>
    <w:family w:val="roman"/>
    <w:pitch w:val="variable"/>
  </w:font>
  <w:font w:name="FreeSans">
    <w:charset w:val="01"/>
    <w:family w:val="auto"/>
    <w:pitch w:val="variable"/>
  </w:font>
  <w:font w:name="Garamond">
    <w:panose1 w:val="02020404030301010803"/>
    <w:charset w:val="EE"/>
    <w:family w:val="roman"/>
    <w:pitch w:val="variable"/>
    <w:sig w:usb0="00000287" w:usb1="00000000" w:usb2="00000000" w:usb3="00000000" w:csb0="0000009F" w:csb1="00000000"/>
    <w:embedRegular r:id="rId4" w:fontKey="{8518AD94-4D0B-4FE2-9493-AAE52CAE5AE9}"/>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5" w:fontKey="{0ED5B50E-A578-432E-A4F8-E506E53EE1BF}"/>
  </w:font>
  <w:font w:name="Georgia">
    <w:panose1 w:val="02040502050405020303"/>
    <w:charset w:val="00"/>
    <w:family w:val="auto"/>
    <w:pitch w:val="default"/>
    <w:embedItalic r:id="rId6" w:fontKey="{01523142-9905-4A57-8C80-66D222385DA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F43BD" w14:textId="77777777" w:rsidR="00B87E37"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694DD0">
      <w:rPr>
        <w:noProof/>
        <w:color w:val="000000"/>
      </w:rPr>
      <w:t>2</w:t>
    </w:r>
    <w:r>
      <w:rPr>
        <w:color w:val="000000"/>
      </w:rPr>
      <w:fldChar w:fldCharType="end"/>
    </w:r>
  </w:p>
  <w:p w14:paraId="04868D05" w14:textId="77777777" w:rsidR="00B87E37" w:rsidRDefault="00B87E37">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0E3A0" w14:textId="77777777" w:rsidR="00B87E37"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694DD0">
      <w:rPr>
        <w:noProof/>
        <w:color w:val="000000"/>
      </w:rPr>
      <w:t>1</w:t>
    </w:r>
    <w:r>
      <w:rPr>
        <w:color w:val="000000"/>
      </w:rPr>
      <w:fldChar w:fldCharType="end"/>
    </w:r>
  </w:p>
  <w:p w14:paraId="48993370" w14:textId="77777777" w:rsidR="00B87E37" w:rsidRDefault="00B87E37">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356EA" w14:textId="77777777" w:rsidR="00E96922" w:rsidRDefault="00E96922">
      <w:r>
        <w:separator/>
      </w:r>
    </w:p>
  </w:footnote>
  <w:footnote w:type="continuationSeparator" w:id="0">
    <w:p w14:paraId="2A724878" w14:textId="77777777" w:rsidR="00E96922" w:rsidRDefault="00E969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0C69B" w14:textId="77777777" w:rsidR="00B87E37" w:rsidRDefault="00B87E37">
    <w:pPr>
      <w:pBdr>
        <w:top w:val="nil"/>
        <w:left w:val="nil"/>
        <w:bottom w:val="nil"/>
        <w:right w:val="nil"/>
        <w:between w:val="nil"/>
      </w:pBdr>
      <w:tabs>
        <w:tab w:val="center" w:pos="4536"/>
        <w:tab w:val="right" w:pos="9072"/>
      </w:tabs>
      <w:rPr>
        <w:color w:val="000000"/>
      </w:rPr>
    </w:pPr>
  </w:p>
  <w:p w14:paraId="57CFFEB3" w14:textId="77777777" w:rsidR="00B87E37" w:rsidRDefault="00B87E37">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D47E" w14:textId="77777777" w:rsidR="00B87E37" w:rsidRDefault="00000000">
    <w:pPr>
      <w:widowControl w:val="0"/>
      <w:jc w:val="right"/>
      <w:rPr>
        <w:rFonts w:ascii="Arial" w:eastAsia="Arial" w:hAnsi="Arial" w:cs="Arial"/>
        <w:sz w:val="16"/>
        <w:szCs w:val="16"/>
      </w:rPr>
    </w:pPr>
    <w:proofErr w:type="spellStart"/>
    <w:r>
      <w:rPr>
        <w:rFonts w:ascii="Arial" w:eastAsia="Arial" w:hAnsi="Arial" w:cs="Arial"/>
        <w:b/>
        <w:bCs/>
        <w:i/>
        <w:iCs/>
        <w:sz w:val="16"/>
        <w:szCs w:val="16"/>
      </w:rPr>
      <w:t>Príloha</w:t>
    </w:r>
    <w:proofErr w:type="spellEnd"/>
    <w:r>
      <w:rPr>
        <w:rFonts w:ascii="Arial" w:eastAsia="Arial" w:hAnsi="Arial" w:cs="Arial"/>
        <w:b/>
        <w:bCs/>
        <w:i/>
        <w:iCs/>
        <w:sz w:val="16"/>
        <w:szCs w:val="16"/>
      </w:rPr>
      <w:t xml:space="preserve"> č. 1 k </w:t>
    </w:r>
    <w:proofErr w:type="spellStart"/>
    <w:r>
      <w:rPr>
        <w:rFonts w:ascii="Arial" w:eastAsia="Arial" w:hAnsi="Arial" w:cs="Arial"/>
        <w:b/>
        <w:bCs/>
        <w:i/>
        <w:iCs/>
        <w:sz w:val="16"/>
        <w:szCs w:val="16"/>
      </w:rPr>
      <w:t>vyhláške</w:t>
    </w:r>
    <w:proofErr w:type="spellEnd"/>
    <w:r>
      <w:rPr>
        <w:rFonts w:ascii="Arial" w:eastAsia="Arial" w:hAnsi="Arial" w:cs="Arial"/>
        <w:b/>
        <w:bCs/>
        <w:i/>
        <w:iCs/>
        <w:sz w:val="16"/>
        <w:szCs w:val="16"/>
      </w:rPr>
      <w:t xml:space="preserve"> </w:t>
    </w:r>
    <w:proofErr w:type="spellStart"/>
    <w:r>
      <w:rPr>
        <w:rFonts w:ascii="Arial" w:eastAsia="Arial" w:hAnsi="Arial" w:cs="Arial"/>
        <w:b/>
        <w:bCs/>
        <w:i/>
        <w:iCs/>
        <w:sz w:val="16"/>
        <w:szCs w:val="16"/>
      </w:rPr>
      <w:t>MŠVVaŠ</w:t>
    </w:r>
    <w:proofErr w:type="spellEnd"/>
    <w:r>
      <w:rPr>
        <w:rFonts w:ascii="Arial" w:eastAsia="Arial" w:hAnsi="Arial" w:cs="Arial"/>
        <w:b/>
        <w:bCs/>
        <w:i/>
        <w:iCs/>
        <w:sz w:val="16"/>
        <w:szCs w:val="16"/>
      </w:rPr>
      <w:t xml:space="preserve"> SR č. 155/2013 Z. z., </w:t>
    </w:r>
    <w:proofErr w:type="spellStart"/>
    <w:r>
      <w:rPr>
        <w:rFonts w:ascii="Arial" w:eastAsia="Arial" w:hAnsi="Arial" w:cs="Arial"/>
        <w:b/>
        <w:bCs/>
        <w:i/>
        <w:iCs/>
        <w:sz w:val="16"/>
        <w:szCs w:val="16"/>
      </w:rPr>
      <w:t>ktorou</w:t>
    </w:r>
    <w:proofErr w:type="spellEnd"/>
    <w:r>
      <w:rPr>
        <w:rFonts w:ascii="Arial" w:eastAsia="Arial" w:hAnsi="Arial" w:cs="Arial"/>
        <w:b/>
        <w:bCs/>
        <w:i/>
        <w:iCs/>
        <w:sz w:val="16"/>
        <w:szCs w:val="16"/>
      </w:rPr>
      <w:t xml:space="preserve"> </w:t>
    </w:r>
    <w:proofErr w:type="spellStart"/>
    <w:r>
      <w:rPr>
        <w:rFonts w:ascii="Arial" w:eastAsia="Arial" w:hAnsi="Arial" w:cs="Arial"/>
        <w:b/>
        <w:bCs/>
        <w:i/>
        <w:iCs/>
        <w:sz w:val="16"/>
        <w:szCs w:val="16"/>
      </w:rPr>
      <w:t>sa</w:t>
    </w:r>
    <w:proofErr w:type="spellEnd"/>
    <w:r>
      <w:rPr>
        <w:rFonts w:ascii="Arial" w:eastAsia="Arial" w:hAnsi="Arial" w:cs="Arial"/>
        <w:b/>
        <w:bCs/>
        <w:i/>
        <w:iCs/>
        <w:sz w:val="16"/>
        <w:szCs w:val="16"/>
      </w:rPr>
      <w:t xml:space="preserve"> </w:t>
    </w:r>
    <w:proofErr w:type="spellStart"/>
    <w:r>
      <w:rPr>
        <w:rFonts w:ascii="Arial" w:eastAsia="Arial" w:hAnsi="Arial" w:cs="Arial"/>
        <w:b/>
        <w:bCs/>
        <w:i/>
        <w:iCs/>
        <w:sz w:val="16"/>
        <w:szCs w:val="16"/>
      </w:rPr>
      <w:t>mení</w:t>
    </w:r>
    <w:proofErr w:type="spellEnd"/>
    <w:r>
      <w:rPr>
        <w:rFonts w:ascii="Arial" w:eastAsia="Arial" w:hAnsi="Arial" w:cs="Arial"/>
        <w:b/>
        <w:bCs/>
        <w:i/>
        <w:iCs/>
        <w:sz w:val="16"/>
        <w:szCs w:val="16"/>
      </w:rPr>
      <w:t xml:space="preserve"> a </w:t>
    </w:r>
    <w:proofErr w:type="spellStart"/>
    <w:r>
      <w:rPr>
        <w:rFonts w:ascii="Arial" w:eastAsia="Arial" w:hAnsi="Arial" w:cs="Arial"/>
        <w:b/>
        <w:bCs/>
        <w:i/>
        <w:iCs/>
        <w:sz w:val="16"/>
        <w:szCs w:val="16"/>
      </w:rPr>
      <w:t>dopĺňa</w:t>
    </w:r>
    <w:proofErr w:type="spellEnd"/>
    <w:r>
      <w:rPr>
        <w:rFonts w:ascii="Arial" w:eastAsia="Arial" w:hAnsi="Arial" w:cs="Arial"/>
        <w:b/>
        <w:bCs/>
        <w:i/>
        <w:iCs/>
        <w:sz w:val="16"/>
        <w:szCs w:val="16"/>
      </w:rPr>
      <w:t xml:space="preserve"> </w:t>
    </w:r>
    <w:proofErr w:type="spellStart"/>
    <w:r>
      <w:rPr>
        <w:rFonts w:ascii="Arial" w:eastAsia="Arial" w:hAnsi="Arial" w:cs="Arial"/>
        <w:b/>
        <w:bCs/>
        <w:i/>
        <w:iCs/>
        <w:sz w:val="16"/>
        <w:szCs w:val="16"/>
      </w:rPr>
      <w:t>vyhláška</w:t>
    </w:r>
    <w:proofErr w:type="spellEnd"/>
    <w:r>
      <w:rPr>
        <w:rFonts w:ascii="Arial" w:eastAsia="Arial" w:hAnsi="Arial" w:cs="Arial"/>
        <w:b/>
        <w:bCs/>
        <w:i/>
        <w:iCs/>
        <w:sz w:val="16"/>
        <w:szCs w:val="16"/>
      </w:rPr>
      <w:t xml:space="preserve"> </w:t>
    </w:r>
    <w:proofErr w:type="spellStart"/>
    <w:r>
      <w:rPr>
        <w:rFonts w:ascii="Arial" w:eastAsia="Arial" w:hAnsi="Arial" w:cs="Arial"/>
        <w:b/>
        <w:bCs/>
        <w:i/>
        <w:iCs/>
        <w:sz w:val="16"/>
        <w:szCs w:val="16"/>
      </w:rPr>
      <w:t>MŠVVaŠ</w:t>
    </w:r>
    <w:proofErr w:type="spellEnd"/>
    <w:r>
      <w:rPr>
        <w:rFonts w:ascii="Arial" w:eastAsia="Arial" w:hAnsi="Arial" w:cs="Arial"/>
        <w:b/>
        <w:bCs/>
        <w:i/>
        <w:iCs/>
        <w:sz w:val="16"/>
        <w:szCs w:val="16"/>
      </w:rPr>
      <w:t xml:space="preserve"> SR č. </w:t>
    </w:r>
    <w:hyperlink r:id="rId1">
      <w:r>
        <w:rPr>
          <w:rFonts w:ascii="Arial" w:eastAsia="Arial" w:hAnsi="Arial" w:cs="Arial"/>
          <w:b/>
          <w:bCs/>
          <w:i/>
          <w:iCs/>
          <w:sz w:val="16"/>
          <w:szCs w:val="16"/>
        </w:rPr>
        <w:t>614/2002 Z. z.</w:t>
      </w:r>
    </w:hyperlink>
  </w:p>
  <w:p w14:paraId="08E596DB" w14:textId="77777777" w:rsidR="00B87E37" w:rsidRDefault="00000000">
    <w:pPr>
      <w:widowControl w:val="0"/>
      <w:jc w:val="right"/>
      <w:rPr>
        <w:rFonts w:ascii="Arial" w:eastAsia="Arial" w:hAnsi="Arial" w:cs="Arial"/>
        <w:sz w:val="16"/>
        <w:szCs w:val="16"/>
      </w:rPr>
    </w:pPr>
    <w:r>
      <w:rPr>
        <w:rFonts w:ascii="Arial" w:eastAsia="Arial" w:hAnsi="Arial" w:cs="Arial"/>
        <w:b/>
        <w:bCs/>
        <w:i/>
        <w:iCs/>
        <w:sz w:val="16"/>
        <w:szCs w:val="16"/>
      </w:rPr>
      <w:t xml:space="preserve">o </w:t>
    </w:r>
    <w:proofErr w:type="spellStart"/>
    <w:r>
      <w:rPr>
        <w:rFonts w:ascii="Arial" w:eastAsia="Arial" w:hAnsi="Arial" w:cs="Arial"/>
        <w:b/>
        <w:bCs/>
        <w:i/>
        <w:iCs/>
        <w:sz w:val="16"/>
        <w:szCs w:val="16"/>
      </w:rPr>
      <w:t>kreditovom</w:t>
    </w:r>
    <w:proofErr w:type="spellEnd"/>
    <w:r>
      <w:rPr>
        <w:rFonts w:ascii="Arial" w:eastAsia="Arial" w:hAnsi="Arial" w:cs="Arial"/>
        <w:b/>
        <w:bCs/>
        <w:i/>
        <w:iCs/>
        <w:sz w:val="16"/>
        <w:szCs w:val="16"/>
      </w:rPr>
      <w:t xml:space="preserve"> </w:t>
    </w:r>
    <w:proofErr w:type="spellStart"/>
    <w:r>
      <w:rPr>
        <w:rFonts w:ascii="Arial" w:eastAsia="Arial" w:hAnsi="Arial" w:cs="Arial"/>
        <w:b/>
        <w:bCs/>
        <w:i/>
        <w:iCs/>
        <w:sz w:val="16"/>
        <w:szCs w:val="16"/>
      </w:rPr>
      <w:t>systéme</w:t>
    </w:r>
    <w:proofErr w:type="spellEnd"/>
    <w:r>
      <w:rPr>
        <w:rFonts w:ascii="Arial" w:eastAsia="Arial" w:hAnsi="Arial" w:cs="Arial"/>
        <w:b/>
        <w:bCs/>
        <w:i/>
        <w:iCs/>
        <w:sz w:val="16"/>
        <w:szCs w:val="16"/>
      </w:rPr>
      <w:t xml:space="preserve"> </w:t>
    </w:r>
    <w:proofErr w:type="spellStart"/>
    <w:r>
      <w:rPr>
        <w:rFonts w:ascii="Arial" w:eastAsia="Arial" w:hAnsi="Arial" w:cs="Arial"/>
        <w:b/>
        <w:bCs/>
        <w:i/>
        <w:iCs/>
        <w:sz w:val="16"/>
        <w:szCs w:val="16"/>
      </w:rPr>
      <w:t>štúdia</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E37"/>
    <w:rsid w:val="00694DD0"/>
    <w:rsid w:val="00A4656A"/>
    <w:rsid w:val="00B87E37"/>
    <w:rsid w:val="00E9692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BB97C"/>
  <w15:docId w15:val="{7A692658-1602-4D0C-B125-4CEC92BCE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80" w:line="276" w:lineRule="auto"/>
      <w:outlineLvl w:val="0"/>
    </w:pPr>
    <w:rPr>
      <w:rFonts w:ascii="Cambria" w:eastAsia="Cambria" w:hAnsi="Cambria" w:cs="Cambria"/>
      <w:b/>
      <w:bCs/>
      <w:color w:val="365F91"/>
      <w:sz w:val="28"/>
      <w:szCs w:val="28"/>
    </w:rPr>
  </w:style>
  <w:style w:type="paragraph" w:styleId="Nadpis2">
    <w:name w:val="heading 2"/>
    <w:basedOn w:val="Normlny"/>
    <w:next w:val="Normlny"/>
    <w:uiPriority w:val="9"/>
    <w:semiHidden/>
    <w:unhideWhenUsed/>
    <w:qFormat/>
    <w:pPr>
      <w:keepNext/>
      <w:keepLines/>
      <w:spacing w:before="360" w:after="80"/>
      <w:outlineLvl w:val="1"/>
    </w:pPr>
    <w:rPr>
      <w:b/>
      <w:bCs/>
      <w:sz w:val="36"/>
      <w:szCs w:val="36"/>
    </w:rPr>
  </w:style>
  <w:style w:type="paragraph" w:styleId="Nadpis3">
    <w:name w:val="heading 3"/>
    <w:basedOn w:val="Normlny"/>
    <w:next w:val="Normlny"/>
    <w:uiPriority w:val="9"/>
    <w:semiHidden/>
    <w:unhideWhenUsed/>
    <w:qFormat/>
    <w:pPr>
      <w:keepNext/>
      <w:keepLines/>
      <w:spacing w:before="280" w:after="80"/>
      <w:outlineLvl w:val="2"/>
    </w:pPr>
    <w:rPr>
      <w:b/>
      <w:bCs/>
      <w:sz w:val="28"/>
      <w:szCs w:val="28"/>
    </w:rPr>
  </w:style>
  <w:style w:type="paragraph" w:styleId="Nadpis4">
    <w:name w:val="heading 4"/>
    <w:basedOn w:val="Normlny"/>
    <w:next w:val="Normlny"/>
    <w:uiPriority w:val="9"/>
    <w:semiHidden/>
    <w:unhideWhenUsed/>
    <w:qFormat/>
    <w:pPr>
      <w:keepNext/>
      <w:keepLines/>
      <w:spacing w:before="240" w:after="40"/>
      <w:outlineLvl w:val="3"/>
    </w:pPr>
    <w:rPr>
      <w:b/>
      <w:bCs/>
    </w:rPr>
  </w:style>
  <w:style w:type="paragraph" w:styleId="Nadpis5">
    <w:name w:val="heading 5"/>
    <w:basedOn w:val="Normlny"/>
    <w:next w:val="Normlny"/>
    <w:uiPriority w:val="9"/>
    <w:semiHidden/>
    <w:unhideWhenUsed/>
    <w:qFormat/>
    <w:pPr>
      <w:keepNext/>
      <w:keepLines/>
      <w:spacing w:before="220" w:after="40"/>
      <w:outlineLvl w:val="4"/>
    </w:pPr>
    <w:rPr>
      <w:b/>
      <w:bCs/>
      <w:sz w:val="22"/>
      <w:szCs w:val="22"/>
    </w:rPr>
  </w:style>
  <w:style w:type="paragraph" w:styleId="Nadpis6">
    <w:name w:val="heading 6"/>
    <w:basedOn w:val="Normlny"/>
    <w:next w:val="Normlny"/>
    <w:uiPriority w:val="9"/>
    <w:semiHidden/>
    <w:unhideWhenUsed/>
    <w:qFormat/>
    <w:pPr>
      <w:keepNext/>
      <w:keepLines/>
      <w:spacing w:before="200" w:after="40"/>
      <w:outlineLvl w:val="5"/>
    </w:pPr>
    <w:rPr>
      <w:b/>
      <w:bCs/>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keepNext/>
      <w:keepLines/>
      <w:spacing w:before="480" w:after="120"/>
    </w:pPr>
    <w:rPr>
      <w:b/>
      <w:bCs/>
      <w:sz w:val="72"/>
      <w:szCs w:val="72"/>
    </w:rPr>
  </w:style>
  <w:style w:type="table" w:customStyle="1" w:styleId="TableNormal0">
    <w:name w:val="Table Normal"/>
    <w:next w:val="TableNormal"/>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table" w:styleId="Mriekatabuky">
    <w:name w:val="Table Grid"/>
    <w:basedOn w:val="TableNormal0"/>
    <w:pPr>
      <w:spacing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qFormat/>
    <w:pPr>
      <w:tabs>
        <w:tab w:val="center" w:pos="4536"/>
        <w:tab w:val="right" w:pos="9072"/>
      </w:tabs>
      <w:suppressAutoHyphens/>
      <w:spacing w:line="1" w:lineRule="atLeast"/>
      <w:ind w:leftChars="-1" w:left="-1" w:hangingChars="1" w:hanging="1"/>
      <w:textDirection w:val="btLr"/>
      <w:textAlignment w:val="top"/>
      <w:outlineLvl w:val="0"/>
    </w:pPr>
    <w:rPr>
      <w:position w:val="-1"/>
      <w:lang/>
    </w:rPr>
  </w:style>
  <w:style w:type="character" w:customStyle="1" w:styleId="HeaderChar">
    <w:name w:val="Header Char"/>
    <w:rPr>
      <w:rFonts w:ascii="Times New Roman" w:hAnsi="Times New Roman" w:cs="Times New Roman"/>
      <w:w w:val="100"/>
      <w:position w:val="-1"/>
      <w:sz w:val="24"/>
      <w:szCs w:val="24"/>
      <w:effect w:val="none"/>
      <w:vertAlign w:val="baseline"/>
      <w:cs w:val="0"/>
      <w:em w:val="none"/>
      <w:lang w:eastAsia="sk-SK"/>
    </w:rPr>
  </w:style>
  <w:style w:type="paragraph" w:styleId="Textbubliny">
    <w:name w:val="Balloon Text"/>
    <w:basedOn w:val="Normlny"/>
    <w:qFormat/>
    <w:pPr>
      <w:suppressAutoHyphens/>
      <w:spacing w:line="1" w:lineRule="atLeast"/>
      <w:ind w:leftChars="-1" w:left="-1" w:hangingChars="1" w:hanging="1"/>
      <w:textDirection w:val="btLr"/>
      <w:textAlignment w:val="top"/>
      <w:outlineLvl w:val="0"/>
    </w:pPr>
    <w:rPr>
      <w:rFonts w:ascii="Tahoma" w:hAnsi="Tahoma"/>
      <w:position w:val="-1"/>
      <w:sz w:val="16"/>
      <w:szCs w:val="16"/>
      <w:lang/>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sk-SK"/>
    </w:rPr>
  </w:style>
  <w:style w:type="paragraph" w:styleId="Pta">
    <w:name w:val="footer"/>
    <w:basedOn w:val="Normlny"/>
    <w:qFormat/>
    <w:pPr>
      <w:tabs>
        <w:tab w:val="center" w:pos="4536"/>
        <w:tab w:val="right" w:pos="9072"/>
      </w:tabs>
      <w:suppressAutoHyphens/>
      <w:spacing w:line="1" w:lineRule="atLeast"/>
      <w:ind w:leftChars="-1" w:left="-1" w:hangingChars="1" w:hanging="1"/>
      <w:textDirection w:val="btLr"/>
      <w:textAlignment w:val="top"/>
      <w:outlineLvl w:val="0"/>
    </w:pPr>
    <w:rPr>
      <w:position w:val="-1"/>
      <w:lang/>
    </w:rPr>
  </w:style>
  <w:style w:type="character" w:customStyle="1" w:styleId="FooterChar">
    <w:name w:val="Footer Char"/>
    <w:rPr>
      <w:rFonts w:ascii="Times New Roman" w:hAnsi="Times New Roman" w:cs="Times New Roman"/>
      <w:w w:val="100"/>
      <w:position w:val="-1"/>
      <w:sz w:val="24"/>
      <w:szCs w:val="24"/>
      <w:effect w:val="none"/>
      <w:vertAlign w:val="baseline"/>
      <w:cs w:val="0"/>
      <w:em w:val="none"/>
      <w:lang w:eastAsia="sk-SK"/>
    </w:rPr>
  </w:style>
  <w:style w:type="paragraph" w:customStyle="1" w:styleId="Zoznampouitejliteratry1">
    <w:name w:val="Zoznam použitej literatúry 1"/>
    <w:basedOn w:val="Normlny"/>
    <w:pPr>
      <w:widowControl w:val="0"/>
      <w:suppressLineNumbers/>
      <w:spacing w:line="240" w:lineRule="atLeast"/>
      <w:ind w:leftChars="-1" w:left="720" w:hangingChars="1" w:hanging="720"/>
      <w:textDirection w:val="btLr"/>
      <w:textAlignment w:val="top"/>
      <w:outlineLvl w:val="0"/>
    </w:pPr>
    <w:rPr>
      <w:rFonts w:ascii="Liberation Serif" w:hAnsi="Liberation Serif" w:cs="FreeSans"/>
      <w:kern w:val="1"/>
      <w:position w:val="-1"/>
      <w:lang w:val="en-US" w:eastAsia="zh-CN" w:bidi="hi-IN"/>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Garamond" w:hAnsi="Garamond" w:cs="Garamond"/>
      <w:color w:val="000000"/>
      <w:position w:val="-1"/>
      <w:lang w:val="sk-SK"/>
    </w:rPr>
  </w:style>
  <w:style w:type="character" w:styleId="Hypertextovprepojenie">
    <w:name w:val="Hyperlink"/>
    <w:qFormat/>
    <w:rPr>
      <w:color w:val="0000FF"/>
      <w:w w:val="100"/>
      <w:position w:val="-1"/>
      <w:u w:val="single"/>
      <w:effect w:val="none"/>
      <w:vertAlign w:val="baseline"/>
      <w:cs w:val="0"/>
      <w:em w:val="none"/>
    </w:rPr>
  </w:style>
  <w:style w:type="paragraph" w:styleId="PredformtovanHTML">
    <w:name w:val="HTML Preformatted"/>
    <w:basedOn w:val="Normlny"/>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 w:lineRule="atLeast"/>
      <w:ind w:leftChars="-1" w:left="-1" w:hangingChars="1" w:hanging="1"/>
      <w:textDirection w:val="btLr"/>
      <w:textAlignment w:val="top"/>
      <w:outlineLvl w:val="0"/>
    </w:pPr>
    <w:rPr>
      <w:rFonts w:ascii="Courier New" w:hAnsi="Courier New" w:cs="Courier New"/>
      <w:position w:val="-1"/>
      <w:sz w:val="20"/>
      <w:szCs w:val="20"/>
      <w:lang w:val="sk-SK"/>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character" w:customStyle="1" w:styleId="y2iqfc">
    <w:name w:val="y2iqfc"/>
    <w:basedOn w:val="Predvolenpsmoodseku"/>
    <w:rPr>
      <w:w w:val="100"/>
      <w:position w:val="-1"/>
      <w:effect w:val="none"/>
      <w:vertAlign w:val="baseline"/>
      <w:cs w:val="0"/>
      <w:em w:val="none"/>
    </w:rPr>
  </w:style>
  <w:style w:type="character" w:customStyle="1" w:styleId="FontStyle58">
    <w:name w:val="Font Style58"/>
    <w:rPr>
      <w:rFonts w:ascii="Calibri" w:hAnsi="Calibri" w:cs="Calibri" w:hint="default"/>
      <w:color w:val="000000"/>
      <w:w w:val="100"/>
      <w:position w:val="-1"/>
      <w:sz w:val="20"/>
      <w:szCs w:val="20"/>
      <w:effect w:val="none"/>
      <w:vertAlign w:val="baseline"/>
      <w:cs w:val="0"/>
      <w:em w:val="none"/>
    </w:rPr>
  </w:style>
  <w:style w:type="paragraph" w:styleId="Odsekzoznamu">
    <w:name w:val="List Paragraph"/>
    <w:basedOn w:val="Normlny"/>
    <w:pPr>
      <w:suppressAutoHyphens/>
      <w:spacing w:after="160" w:line="256" w:lineRule="auto"/>
      <w:ind w:leftChars="-1" w:left="720" w:hangingChars="1" w:hanging="1"/>
      <w:contextualSpacing/>
      <w:textDirection w:val="btLr"/>
      <w:textAlignment w:val="top"/>
      <w:outlineLvl w:val="0"/>
    </w:pPr>
    <w:rPr>
      <w:rFonts w:eastAsia="Calibri"/>
      <w:kern w:val="2"/>
      <w:position w:val="-1"/>
      <w:lang w:val="en-US" w:eastAsia="en-US"/>
    </w:rPr>
  </w:style>
  <w:style w:type="character" w:customStyle="1" w:styleId="Heading1Char">
    <w:name w:val="Heading 1 Char"/>
    <w:rPr>
      <w:rFonts w:ascii="Cambria" w:hAnsi="Cambria" w:cs="Times New Roman"/>
      <w:b/>
      <w:bCs/>
      <w:color w:val="365F91"/>
      <w:w w:val="100"/>
      <w:position w:val="-1"/>
      <w:sz w:val="28"/>
      <w:szCs w:val="28"/>
      <w:effect w:val="none"/>
      <w:vertAlign w:val="baseline"/>
      <w:cs w:val="0"/>
      <w:em w:val="none"/>
      <w:lang/>
    </w:rPr>
  </w:style>
  <w:style w:type="character" w:styleId="Jemnzvraznenie">
    <w:name w:val="Subtle Emphasis"/>
    <w:rPr>
      <w:i/>
      <w:iCs/>
      <w:color w:val="404040"/>
      <w:w w:val="100"/>
      <w:position w:val="-1"/>
      <w:effect w:val="none"/>
      <w:vertAlign w:val="baseline"/>
      <w:cs w:val="0"/>
      <w:em w:val="none"/>
    </w:rPr>
  </w:style>
  <w:style w:type="paragraph" w:styleId="Podtitul">
    <w:name w:val="Subtitle"/>
    <w:basedOn w:val="Normlny"/>
    <w:next w:val="Norm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Pweax8nJa5Eu0oUsvsaepY/fWQ==">CgMxLjAyDmgucTI3eXc5aWZzNG5xOAByITFFRDduWm0yWm9UYXFRY1AwSWUxLUdKdDc1ZDJBSXl2SQ==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690</Words>
  <Characters>3936</Characters>
  <Application>Microsoft Office Word</Application>
  <DocSecurity>0</DocSecurity>
  <Lines>32</Lines>
  <Paragraphs>9</Paragraphs>
  <ScaleCrop>false</ScaleCrop>
  <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Ľahká Katarína</dc:creator>
  <cp:lastModifiedBy>sulikova@bisla.sk</cp:lastModifiedBy>
  <cp:revision>2</cp:revision>
  <dcterms:created xsi:type="dcterms:W3CDTF">2026-02-24T09:32:00Z</dcterms:created>
  <dcterms:modified xsi:type="dcterms:W3CDTF">2026-02-24T09:32:00Z</dcterms:modified>
</cp:coreProperties>
</file>