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Informačný list predmetu</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3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0"/>
        <w:gridCol w:w="5212"/>
        <w:tblGridChange w:id="0">
          <w:tblGrid>
            <w:gridCol w:w="4110"/>
            <w:gridCol w:w="5212"/>
          </w:tblGrid>
        </w:tblGridChange>
      </w:tblGrid>
      <w:tr>
        <w:trPr>
          <w:cantSplit w:val="0"/>
          <w:tblHeader w:val="0"/>
        </w:trPr>
        <w:tc>
          <w:tcPr>
            <w:gridSpan w:val="2"/>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Vysoká škola: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Bratislava International School of Liberal Arts (BISLA)</w:t>
            </w:r>
          </w:p>
        </w:tc>
      </w:tr>
      <w:tr>
        <w:trPr>
          <w:cantSplit w:val="0"/>
          <w:tblHeader w:val="0"/>
        </w:trPr>
        <w:tc>
          <w:tcPr>
            <w:gridSpan w:val="2"/>
            <w:vAlign w:val="top"/>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Fakulta: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vAlign w:val="top"/>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Kód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F/H-36</w:t>
            </w: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Názov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Western Civilization II: The Modern World</w:t>
            </w:r>
          </w:p>
        </w:tc>
      </w:tr>
      <w:tr>
        <w:trPr>
          <w:cantSplit w:val="0"/>
          <w:trHeight w:val="714" w:hRule="atLeast"/>
          <w:tblHeader w:val="0"/>
        </w:trPr>
        <w:tc>
          <w:tcPr>
            <w:gridSpan w:val="2"/>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Druh, rozsah a metóda vzdelávacích činností:</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Two weekly meetings of 90 minutes each, amounting 42 hours total. Every week, the first meeting takes the form of a lecture and the second, of a seminar. (full-time form) </w:t>
            </w:r>
          </w:p>
        </w:tc>
      </w:tr>
      <w:tr>
        <w:trPr>
          <w:cantSplit w:val="0"/>
          <w:trHeight w:val="286" w:hRule="atLeast"/>
          <w:tblHeader w:val="0"/>
        </w:trPr>
        <w:tc>
          <w:tcPr>
            <w:gridSpan w:val="2"/>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Počet kreditov:</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ECT</w:t>
            </w:r>
          </w:p>
        </w:tc>
      </w:tr>
      <w:tr>
        <w:trPr>
          <w:cantSplit w:val="0"/>
          <w:tblHeader w:val="0"/>
        </w:trPr>
        <w:tc>
          <w:tcPr>
            <w:gridSpan w:val="2"/>
            <w:vAlign w:val="top"/>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Odporúčaný semester/trimester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semester</w:t>
            </w:r>
          </w:p>
        </w:tc>
      </w:tr>
      <w:tr>
        <w:trPr>
          <w:cantSplit w:val="0"/>
          <w:tblHeader w:val="0"/>
        </w:trPr>
        <w:tc>
          <w:tcPr>
            <w:gridSpan w:val="2"/>
            <w:vAlign w:val="top"/>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Stupeň štúdia: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w:t>
            </w:r>
          </w:p>
        </w:tc>
      </w:tr>
      <w:tr>
        <w:trPr>
          <w:cantSplit w:val="0"/>
          <w:tblHeader w:val="0"/>
        </w:trPr>
        <w:tc>
          <w:tcPr>
            <w:gridSpan w:val="2"/>
            <w:vAlign w:val="top"/>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Podmieňujúce predmety: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F/H-352 Western Civilization I: The Ancient World</w:t>
            </w:r>
          </w:p>
        </w:tc>
      </w:tr>
      <w:tr>
        <w:trPr>
          <w:cantSplit w:val="0"/>
          <w:tblHeader w:val="0"/>
        </w:trPr>
        <w:tc>
          <w:tcPr>
            <w:gridSpan w:val="2"/>
            <w:vAlign w:val="top"/>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Podmienky na absolvovanie predmetu: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 One in-class written midterm examination; 40% One in-class written final examination at the end of the semester; 20% A series of unannounced quizzes throughout the course of the semester; 7% Class participation; 3% Attendance.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Course evaluation (%): A – excellent: 100-93%, B – very good: 92-84%, C – good: 83-74%, D – satisfactory: 73-63%, E – sufficient: 62-51%, Fx – fail: 50-0%.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Passing the course assumes that student was not absent at more than 4 class sessions. Late arrival is marked as a “tardie”. Three tardies equal one absence. Missing more than 15 minutes of the class is considered an absence.</w:t>
            </w:r>
          </w:p>
        </w:tc>
      </w:tr>
      <w:tr>
        <w:trPr>
          <w:cantSplit w:val="0"/>
          <w:tblHeader w:val="0"/>
        </w:trPr>
        <w:tc>
          <w:tcPr>
            <w:gridSpan w:val="2"/>
            <w:vAlign w:val="top"/>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Výsledky vzdelávania: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This course traces the history and culture of the modern world from the end of the Middle Ages in the 15th century to the present day. The modern period is characterized by the development of subjectivity and individual freedom in opposition to tradition and authority. In this class we will examine this long struggle for individual freedom in many different forms. This struggle involved an ever-changing definition of what it is to be human, and the idea of a human being as something valuable in itself gradually emerged against great adversity. Our focus will be on the development of the idea of human rights that emerged for the first time in the modern world. We will examine the main periods and movements of Western thought in the modern period: the Renaissance, the Protestant Reformation, the Enlightenment, the Industrial Revolution, Marxism, Anarchism, Existentialism, and Feminism. Each of these important movements contributed to the development of the idea of the modern individual. The class will help to develop important skills such as reading primary source texts, formulating and defending one’s opinion both in writing and orally, and critical thinking and reasoning. In addition, our goal is to learn the relevant factual information about the development of Western Civilization in the modern period especially as it is related to the texts that we will be reading. The course is interdisciplinary, and the readings come from the fields of history, literature, philosophy, religious studies, and drama.</w:t>
            </w:r>
          </w:p>
        </w:tc>
      </w:tr>
      <w:tr>
        <w:trPr>
          <w:cantSplit w:val="0"/>
          <w:tblHeader w:val="0"/>
        </w:trPr>
        <w:tc>
          <w:tcPr>
            <w:gridSpan w:val="2"/>
            <w:vAlign w:val="top"/>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Stručná osnova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 The Age of Exploration and Colonization; 2. The Reformation; 3. The German Enlightenment; 4. The French Enlightenment; 5. The English Enlightenment; 6. The Industrial Revolution; 7. Anarchism; 8. The Twentieth Century; 9. Existentialism.</w:t>
            </w:r>
          </w:p>
        </w:tc>
      </w:tr>
      <w:tr>
        <w:trPr>
          <w:cantSplit w:val="0"/>
          <w:tblHeader w:val="0"/>
        </w:trPr>
        <w:tc>
          <w:tcPr>
            <w:gridSpan w:val="2"/>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Odporúčaná literatúra: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Christopher Columbus [1492-93], The Journal of Christopher Columbus, ed. and trans. by Clements R. Markham, London: Chas. J. Clark 1893.</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Antonio de Montesinos [1511], “Sermon on December 21, 1511” as “Document 8. ‘By what right and with what justice’: History of the Indies, 1511,” in Bartolomé de las Casas and the Defense of Amerindian Rights: A Brief History with Documents, ed. by Lawrence A. Clayton and David M. Lantigua,</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Tuscaloosa: University of Alabama Press 2020, pp. 52-56.</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Pope Paul III [1537], “Sublimis Deus” as “Document 15. ‘Those Indians…should not be deprived of freedom’: Sublimis Deus, Pope Paul III, 1537,” in Bartolomé de las Casas and the Defense of Amerindian Rights: A Brief History with Documents, ed. by Lawrence A. Clayton and David M. Lantigua, Tuscaloosa: University of Alabama Press 2020, pp. 85-87.</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Charles V [1542-43], The New Laws of the Indies for the Good Treatment and Preservation of the Indians Promulgated by the Emperor Charles the Fifth 1542-1543 (facsimile reprint), London: The Cheswick Press 1893.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Bartolomé de las Casas [1550]: In Defense of the Indians, trans. by Stafford Poole, Dekalb: Northern Illinois University Press 1974.</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Bartolomé de las Casas [1552]: A Short Account of the Destruction of the Indies, trans. by Nigel Griffin, London and New York: Penguin 1992.</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Martin Luther [1520]: The Freedom of a Christian Man in The Protestant Reformation, ed. by Hans J. Hillerbrand, New York: Harper 1968.</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Gotthold Ephraim Lessing [1779]: Nathan the Wise, trans. by Ronald Schechter, Boston and New York: Bedford/St. Martins 2004.</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Immanuel Kant [1784], “An Answer to the Question: What is Enlightenment?” in Toward Perpetual Peace and Other Writings on Politics, Peace, and History, trans. by Donald L. Colclasure, New Haven and London: Yale University Press 2006.</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Nicolas de Condorcet [1788 and 1790]: “On Slavery” (1788) and “On the Emancipation of Women” (1790) in Political Writings, ed. by Steven Lukes and Nadia Urbinati, Cambridge: Cambridge University Press 2012, pp. 148-155, pp. 156-162.</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hanging="127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Declaration of the Rights of Man and Citizen” [1789]: Lillian Goldman Law Library 2008.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Mary Wollstonecraft [1792], A Vindication of the Rights of Woman in The Feminist Papers: From Adams to Beauvoir, ed. by Alice S. Rossi, Boston: Northeastern University Press 1973.</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Friedrich Engels [1845]: The Condition of the Working Class in England, in Marx/Engels Collected Works, vols. 1-50, Moscow: Progress Publishers 1975-2004, vol. 4, Marx and Engels 1844-1845, pp. 295-596.</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Mikhail Bakunin [1882]: God and the State, ed. by Paul Avrich, New York: Dover 1970.</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Virginia Woolf [1929], A Room of One’s Own, London: Grafton 1977.</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Sartre [1946], The Humanism of Existentialism in Essays in Existentialism, ed. by Wade Baskin, Secaucus, NJ: The Citadel Press 1965.</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Simone de Beauvoir [1949], The Second Sex, trans. by H.M. Parshley, London: Jonathan Cape 1953.</w:t>
            </w:r>
          </w:p>
        </w:tc>
      </w:tr>
      <w:tr>
        <w:trPr>
          <w:cantSplit w:val="0"/>
          <w:tblHeader w:val="0"/>
        </w:trPr>
        <w:tc>
          <w:tcPr>
            <w:gridSpan w:val="2"/>
            <w:vAlign w:val="top"/>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Jazyk, ktorého znalosť je potrebná na absolvovanie predmetu: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English</w:t>
            </w:r>
          </w:p>
        </w:tc>
      </w:tr>
      <w:tr>
        <w:trPr>
          <w:cantSplit w:val="0"/>
          <w:tblHeader w:val="0"/>
        </w:trPr>
        <w:tc>
          <w:tcPr>
            <w:gridSpan w:val="2"/>
            <w:vAlign w:val="top"/>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Poznámky: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0"/>
          <w:tblHeader w:val="0"/>
        </w:trPr>
        <w:tc>
          <w:tcPr>
            <w:gridSpan w:val="2"/>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Hodnotenie predmetov</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Celkový počet hodnotených študentov: 11</w:t>
            </w:r>
          </w:p>
          <w:tbl>
            <w:tblPr>
              <w:tblStyle w:val="Table2"/>
              <w:tblW w:w="898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96"/>
              <w:gridCol w:w="1497"/>
              <w:gridCol w:w="1497"/>
              <w:gridCol w:w="1497"/>
              <w:gridCol w:w="1497"/>
              <w:gridCol w:w="1497"/>
              <w:tblGridChange w:id="0">
                <w:tblGrid>
                  <w:gridCol w:w="1496"/>
                  <w:gridCol w:w="1497"/>
                  <w:gridCol w:w="1497"/>
                  <w:gridCol w:w="1497"/>
                  <w:gridCol w:w="1497"/>
                  <w:gridCol w:w="149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FX</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54,55%</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18,18%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18,18%</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9,09%</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0,00%</w:t>
                  </w:r>
                </w:p>
              </w:tc>
            </w:tr>
          </w:tb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Vyučujúci: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Jon Stewart, M.A., PhD., Dr. habil, Dr. habil.  </w:t>
            </w:r>
          </w:p>
        </w:tc>
      </w:tr>
      <w:tr>
        <w:trPr>
          <w:cantSplit w:val="0"/>
          <w:tblHeader w:val="0"/>
        </w:trPr>
        <w:tc>
          <w:tcPr>
            <w:gridSpan w:val="2"/>
            <w:vAlign w:val="top"/>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Dátum poslednej zmeny: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12.01.2022</w:t>
            </w:r>
          </w:p>
        </w:tc>
      </w:tr>
      <w:tr>
        <w:trPr>
          <w:cantSplit w:val="0"/>
          <w:tblHeader w:val="0"/>
        </w:trPr>
        <w:tc>
          <w:tcPr>
            <w:gridSpan w:val="2"/>
            <w:vAlign w:val="top"/>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53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Schválil: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Prof. PhDr. František Novosád, CSc.</w:t>
            </w:r>
            <w:r w:rsidDel="00000000" w:rsidR="00000000" w:rsidRPr="00000000">
              <w:rPr>
                <w:rtl w:val="0"/>
              </w:rPr>
            </w:r>
          </w:p>
        </w:tc>
      </w:tr>
    </w:tbl>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17" w:top="1417" w:left="1417" w:right="1417" w:header="567"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Príloha č. 1 k vyhláške MŠVVaŠ SR č. 155/2013 Z. z., ktorou sa mení a dopĺňa vyhláška MŠVVaŠ SR č. </w:t>
    </w:r>
    <w:hyperlink r:id="rId1">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614/2002 Z. z.</w:t>
      </w:r>
    </w:hyperlink>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o kreditovom systéme štúdia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sk-SK"/>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y">
    <w:name w:val="Normálny"/>
    <w:next w:val="Normálny"/>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sk-SK"/>
    </w:rPr>
  </w:style>
  <w:style w:type="character" w:styleId="Predvolenépísmoodseku">
    <w:name w:val="Predvolené písmo odseku"/>
    <w:next w:val="Predvolenépísmoodseku"/>
    <w:autoRedefine w:val="0"/>
    <w:hidden w:val="0"/>
    <w:qFormat w:val="1"/>
    <w:rPr>
      <w:w w:val="100"/>
      <w:position w:val="-1"/>
      <w:effect w:val="none"/>
      <w:vertAlign w:val="baseline"/>
      <w:cs w:val="0"/>
      <w:em w:val="none"/>
      <w:lang/>
    </w:rPr>
  </w:style>
  <w:style w:type="table" w:styleId="Normálnatabuľka">
    <w:name w:val="Normálna tabuľka"/>
    <w:next w:val="Normálnatabuľ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Bezzoznamu">
    <w:name w:val="Bez zoznamu"/>
    <w:next w:val="Bezzoznamu"/>
    <w:autoRedefine w:val="0"/>
    <w:hidden w:val="0"/>
    <w:qFormat w:val="1"/>
    <w:pPr>
      <w:suppressAutoHyphens w:val="1"/>
      <w:spacing w:line="1" w:lineRule="atLeast"/>
      <w:ind w:leftChars="-1" w:rightChars="0" w:firstLineChars="-1"/>
      <w:textDirection w:val="btLr"/>
      <w:textAlignment w:val="top"/>
      <w:outlineLvl w:val="0"/>
    </w:pPr>
  </w:style>
  <w:style w:type="table" w:styleId="Mriežkatabuľky">
    <w:name w:val="Mriežka tabuľky"/>
    <w:basedOn w:val="Normálnatabuľka"/>
    <w:next w:val="Mriežkatabuľky"/>
    <w:autoRedefine w:val="0"/>
    <w:hidden w:val="0"/>
    <w:qFormat w:val="0"/>
    <w:pPr>
      <w:suppressAutoHyphens w:val="1"/>
      <w:spacing w:after="0" w:line="240" w:lineRule="auto"/>
      <w:ind w:leftChars="-1" w:rightChars="0" w:firstLineChars="-1"/>
      <w:textDirection w:val="btLr"/>
      <w:textAlignment w:val="top"/>
      <w:outlineLvl w:val="0"/>
    </w:pPr>
    <w:rPr>
      <w:rFonts w:ascii="Times New Roman" w:cs="Times New Roman" w:hAnsi="Times New Roman"/>
      <w:w w:val="100"/>
      <w:position w:val="-1"/>
      <w:sz w:val="20"/>
      <w:szCs w:val="20"/>
      <w:effect w:val="none"/>
      <w:vertAlign w:val="baseline"/>
      <w:cs w:val="0"/>
      <w:em w:val="none"/>
      <w:lang w:eastAsia="sk-SK"/>
    </w:rPr>
    <w:tblPr>
      <w:tblStyle w:val="Mriežkatabuľ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lavička">
    <w:name w:val="Hlavička"/>
    <w:basedOn w:val="Normálny"/>
    <w:next w:val="Hlavičk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HlavičkaChar">
    <w:name w:val="Hlavička Char"/>
    <w:next w:val="Hlavičk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Textbubliny">
    <w:name w:val="Text bubliny"/>
    <w:basedOn w:val="Normálny"/>
    <w:next w:val="Textbubliny"/>
    <w:autoRedefine w:val="0"/>
    <w:hidden w:val="0"/>
    <w:qFormat w:val="1"/>
    <w:pPr>
      <w:suppressAutoHyphens w:val="1"/>
      <w:spacing w:line="1" w:lineRule="atLeast"/>
      <w:ind w:leftChars="-1" w:rightChars="0" w:firstLineChars="-1"/>
      <w:textDirection w:val="btLr"/>
      <w:textAlignment w:val="top"/>
      <w:outlineLvl w:val="0"/>
    </w:pPr>
    <w:rPr>
      <w:rFonts w:ascii="Tahoma" w:cs="Times New Roman" w:hAnsi="Tahoma"/>
      <w:w w:val="100"/>
      <w:position w:val="-1"/>
      <w:sz w:val="16"/>
      <w:szCs w:val="16"/>
      <w:effect w:val="none"/>
      <w:vertAlign w:val="baseline"/>
      <w:cs w:val="0"/>
      <w:em w:val="none"/>
      <w:lang w:bidi="ar-SA" w:eastAsia="sk-SK" w:val="und"/>
    </w:rPr>
  </w:style>
  <w:style w:type="character" w:styleId="TextbublinyChar">
    <w:name w:val="Text bubliny Char"/>
    <w:next w:val="TextbublinyChar"/>
    <w:autoRedefine w:val="0"/>
    <w:hidden w:val="0"/>
    <w:qFormat w:val="0"/>
    <w:rPr>
      <w:rFonts w:ascii="Tahoma" w:cs="Tahoma" w:hAnsi="Tahoma"/>
      <w:w w:val="100"/>
      <w:position w:val="-1"/>
      <w:sz w:val="16"/>
      <w:szCs w:val="16"/>
      <w:effect w:val="none"/>
      <w:vertAlign w:val="baseline"/>
      <w:cs w:val="0"/>
      <w:em w:val="none"/>
      <w:lang w:eastAsia="sk-SK" w:val="und"/>
    </w:rPr>
  </w:style>
  <w:style w:type="paragraph" w:styleId="Päta">
    <w:name w:val="Päta"/>
    <w:basedOn w:val="Normálny"/>
    <w:next w:val="Päta"/>
    <w:autoRedefine w:val="0"/>
    <w:hidden w:val="0"/>
    <w:qFormat w:val="1"/>
    <w:pPr>
      <w:tabs>
        <w:tab w:val="center" w:leader="none" w:pos="4536"/>
        <w:tab w:val="right" w:leader="none" w:pos="9072"/>
      </w:tabs>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sk-SK" w:val="und"/>
    </w:rPr>
  </w:style>
  <w:style w:type="character" w:styleId="PätaChar">
    <w:name w:val="Päta Char"/>
    <w:next w:val="PätaChar"/>
    <w:autoRedefine w:val="0"/>
    <w:hidden w:val="0"/>
    <w:qFormat w:val="0"/>
    <w:rPr>
      <w:rFonts w:ascii="Times New Roman" w:cs="Times New Roman" w:hAnsi="Times New Roman"/>
      <w:w w:val="100"/>
      <w:position w:val="-1"/>
      <w:sz w:val="24"/>
      <w:szCs w:val="24"/>
      <w:effect w:val="none"/>
      <w:vertAlign w:val="baseline"/>
      <w:cs w:val="0"/>
      <w:em w:val="none"/>
      <w:lang w:eastAsia="sk-SK" w:val="und"/>
    </w:rPr>
  </w:style>
  <w:style w:type="paragraph" w:styleId="Zoznampoužitejliteratúry1">
    <w:name w:val="Zoznam použitej literatúry 1"/>
    <w:basedOn w:val="Normálny"/>
    <w:next w:val="Zoznampoužitejliteratúry1"/>
    <w:autoRedefine w:val="0"/>
    <w:hidden w:val="0"/>
    <w:qFormat w:val="0"/>
    <w:pPr>
      <w:widowControl w:val="0"/>
      <w:suppressLineNumbers w:val="1"/>
      <w:suppressAutoHyphens w:val="0"/>
      <w:spacing w:line="240" w:lineRule="atLeast"/>
      <w:ind w:left="720" w:leftChars="-1" w:rightChars="0" w:hanging="720" w:firstLineChars="-1"/>
      <w:textDirection w:val="btLr"/>
      <w:textAlignment w:val="top"/>
      <w:outlineLvl w:val="0"/>
    </w:pPr>
    <w:rPr>
      <w:rFonts w:ascii="Liberation Serif" w:cs="FreeSans" w:hAnsi="Liberation Serif"/>
      <w:w w:val="100"/>
      <w:kern w:val="1"/>
      <w:position w:val="-1"/>
      <w:sz w:val="24"/>
      <w:szCs w:val="24"/>
      <w:effect w:val="none"/>
      <w:vertAlign w:val="baseline"/>
      <w:cs w:val="0"/>
      <w:em w:val="none"/>
      <w:lang w:bidi="hi-IN" w:eastAsia="zh-CN" w:val="en-U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Garamond" w:cs="Garamond" w:hAnsi="Garamond"/>
      <w:color w:val="000000"/>
      <w:w w:val="100"/>
      <w:position w:val="-1"/>
      <w:sz w:val="24"/>
      <w:szCs w:val="24"/>
      <w:effect w:val="none"/>
      <w:vertAlign w:val="baseline"/>
      <w:cs w:val="0"/>
      <w:em w:val="none"/>
      <w:lang w:bidi="ar-SA" w:eastAsia="sk-SK" w:val="sk-SK"/>
    </w:rPr>
  </w:style>
  <w:style w:type="character" w:styleId="Hypertextovéprepojenie">
    <w:name w:val="Hypertextové prepojenie"/>
    <w:next w:val="Hypertextovéprepojenie"/>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mlQwMI4MJHyVm7zS85oNwG43og==">AMUW2mUaMfAagXYExMc2Rw/Rhi/FOk+07i4a+ZO+ShcsuFPIltZYQm1t5l0fclkK9S6bH6u4EIgjyhsBcboymMdsYt/dMS6Ie5KmDWRuznFBAYtX+Sa8DLI=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2021-12-06T15:03:00Z</dcterms:created>
  <dc:creator>Ľahká Katarína</dc:creator>
</cp:coreProperties>
</file>

<file path=docProps/custom.xml><?xml version="1.0" encoding="utf-8"?>
<Properties xmlns="http://schemas.openxmlformats.org/officeDocument/2006/custom-properties" xmlns:vt="http://schemas.openxmlformats.org/officeDocument/2006/docPropsVTypes"/>
</file>